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EEF8" w14:textId="257550B5" w:rsidR="00CA4406" w:rsidRDefault="000B167A" w:rsidP="00E9653E">
      <w:pPr>
        <w:ind w:firstLine="0"/>
        <w:jc w:val="center"/>
      </w:pPr>
      <w:r>
        <w:t>BỘ GIÁO DỤC VÀ ĐÀO TẠO</w:t>
      </w:r>
      <w:r w:rsidR="00B2653D">
        <w:tab/>
      </w:r>
      <w:r w:rsidR="00B2653D">
        <w:tab/>
      </w:r>
      <w:r w:rsidR="00B2653D">
        <w:tab/>
      </w:r>
      <w:r>
        <w:t>BỘ TƯ PHÁP</w:t>
      </w:r>
    </w:p>
    <w:p w14:paraId="0143533C" w14:textId="13F2529D" w:rsidR="00551DE6" w:rsidRPr="00CA4406" w:rsidRDefault="00CA4406" w:rsidP="00E9653E">
      <w:pPr>
        <w:ind w:firstLine="0"/>
        <w:jc w:val="center"/>
        <w:rPr>
          <w:b/>
          <w:highlight w:val="white"/>
        </w:rPr>
      </w:pPr>
      <w:r w:rsidRPr="00CA4406">
        <w:rPr>
          <w:b/>
        </w:rPr>
        <w:t xml:space="preserve">TRƯỜNG ĐẠI HỌC LUẬT </w:t>
      </w:r>
      <w:r w:rsidR="00B2653D">
        <w:rPr>
          <w:b/>
        </w:rPr>
        <w:t>HÀ NỘI</w:t>
      </w:r>
    </w:p>
    <w:p w14:paraId="783B15ED" w14:textId="21B0C19E" w:rsidR="00BE02E9" w:rsidRDefault="00BE02E9" w:rsidP="00E9653E">
      <w:pPr>
        <w:ind w:firstLine="0"/>
        <w:rPr>
          <w:b/>
          <w:highlight w:val="white"/>
        </w:rPr>
      </w:pPr>
    </w:p>
    <w:p w14:paraId="15009BC6" w14:textId="77777777" w:rsidR="004366CD" w:rsidRDefault="004366CD" w:rsidP="00E9653E">
      <w:pPr>
        <w:ind w:firstLine="0"/>
        <w:rPr>
          <w:b/>
          <w:highlight w:val="white"/>
        </w:rPr>
      </w:pPr>
    </w:p>
    <w:p w14:paraId="3E4F84C9" w14:textId="77777777" w:rsidR="004F5429" w:rsidRDefault="004F5429" w:rsidP="00E9653E">
      <w:pPr>
        <w:ind w:firstLine="0"/>
        <w:rPr>
          <w:b/>
          <w:highlight w:val="white"/>
        </w:rPr>
      </w:pPr>
    </w:p>
    <w:p w14:paraId="0BA5DC4E" w14:textId="77777777" w:rsidR="004F5429" w:rsidRDefault="004F5429" w:rsidP="00E9653E">
      <w:pPr>
        <w:ind w:firstLine="0"/>
        <w:rPr>
          <w:b/>
          <w:highlight w:val="white"/>
        </w:rPr>
      </w:pPr>
    </w:p>
    <w:p w14:paraId="7501422C" w14:textId="77777777" w:rsidR="004F5429" w:rsidRDefault="004F5429" w:rsidP="00E9653E">
      <w:pPr>
        <w:ind w:firstLine="0"/>
        <w:rPr>
          <w:b/>
          <w:highlight w:val="white"/>
        </w:rPr>
      </w:pPr>
    </w:p>
    <w:p w14:paraId="6169A15E" w14:textId="5279AE47" w:rsidR="00DC78A5" w:rsidRPr="00D575BB" w:rsidRDefault="0009582E" w:rsidP="00E9653E">
      <w:pPr>
        <w:ind w:firstLine="0"/>
        <w:jc w:val="center"/>
        <w:rPr>
          <w:b/>
        </w:rPr>
      </w:pPr>
      <w:r>
        <w:rPr>
          <w:b/>
        </w:rPr>
        <w:t>TIỂU LUẬN</w:t>
      </w:r>
    </w:p>
    <w:p w14:paraId="1DA3CEFD" w14:textId="77777777" w:rsidR="00DC1ECA" w:rsidRDefault="00DC1ECA" w:rsidP="00E9653E">
      <w:pPr>
        <w:ind w:firstLine="0"/>
        <w:rPr>
          <w:b/>
          <w:sz w:val="36"/>
          <w:szCs w:val="32"/>
        </w:rPr>
      </w:pPr>
    </w:p>
    <w:p w14:paraId="192AF72A" w14:textId="77777777" w:rsidR="008B3A83" w:rsidRDefault="008B3A83" w:rsidP="00E9653E">
      <w:pPr>
        <w:ind w:firstLine="0"/>
        <w:rPr>
          <w:b/>
          <w:sz w:val="36"/>
          <w:szCs w:val="32"/>
        </w:rPr>
      </w:pPr>
    </w:p>
    <w:p w14:paraId="3D3CBE0C" w14:textId="7BD1488C" w:rsidR="00545D23" w:rsidRPr="00716A03" w:rsidRDefault="004D659E" w:rsidP="00E9653E">
      <w:pPr>
        <w:ind w:firstLine="0"/>
        <w:jc w:val="center"/>
        <w:rPr>
          <w:b/>
          <w:sz w:val="32"/>
          <w:szCs w:val="32"/>
        </w:rPr>
      </w:pPr>
      <w:r w:rsidRPr="00716A03">
        <w:rPr>
          <w:b/>
          <w:sz w:val="32"/>
          <w:szCs w:val="32"/>
        </w:rPr>
        <w:t>PHÂN TÍCH, SO SÁNH CHẾ ĐỊNH GIẢM HÌNH PHẠT ĐÃ TUYÊN GIỮA VIỆT NAM VÀ TRUNG QUỐC</w:t>
      </w:r>
    </w:p>
    <w:p w14:paraId="377DB3CD" w14:textId="67641D67" w:rsidR="009F3365" w:rsidRPr="00545D23" w:rsidRDefault="009F3365" w:rsidP="00716A03">
      <w:pPr>
        <w:ind w:firstLine="0"/>
        <w:rPr>
          <w:b/>
          <w:sz w:val="36"/>
          <w:szCs w:val="32"/>
        </w:rPr>
      </w:pPr>
    </w:p>
    <w:p w14:paraId="48D09FE2" w14:textId="7BE04A2F" w:rsidR="00DD3F8B" w:rsidRDefault="008D09B5" w:rsidP="00E9653E">
      <w:pPr>
        <w:ind w:firstLine="0"/>
        <w:rPr>
          <w:b/>
          <w:highlight w:val="white"/>
        </w:rPr>
      </w:pPr>
      <w:r>
        <w:rPr>
          <w:b/>
          <w:noProof/>
        </w:rPr>
        <mc:AlternateContent>
          <mc:Choice Requires="wps">
            <w:drawing>
              <wp:anchor distT="0" distB="0" distL="114300" distR="114300" simplePos="0" relativeHeight="251660288" behindDoc="0" locked="0" layoutInCell="1" allowOverlap="1" wp14:anchorId="32E96471" wp14:editId="2C086DD0">
                <wp:simplePos x="0" y="0"/>
                <wp:positionH relativeFrom="column">
                  <wp:posOffset>900752</wp:posOffset>
                </wp:positionH>
                <wp:positionV relativeFrom="paragraph">
                  <wp:posOffset>61852</wp:posOffset>
                </wp:positionV>
                <wp:extent cx="4037533" cy="1344304"/>
                <wp:effectExtent l="0" t="0" r="20320" b="27305"/>
                <wp:wrapNone/>
                <wp:docPr id="1" name="Text Box 1"/>
                <wp:cNvGraphicFramePr/>
                <a:graphic xmlns:a="http://schemas.openxmlformats.org/drawingml/2006/main">
                  <a:graphicData uri="http://schemas.microsoft.com/office/word/2010/wordprocessingShape">
                    <wps:wsp>
                      <wps:cNvSpPr txBox="1"/>
                      <wps:spPr>
                        <a:xfrm>
                          <a:off x="0" y="0"/>
                          <a:ext cx="4037533" cy="1344304"/>
                        </a:xfrm>
                        <a:prstGeom prst="rect">
                          <a:avLst/>
                        </a:prstGeom>
                        <a:solidFill>
                          <a:schemeClr val="lt1"/>
                        </a:solidFill>
                        <a:ln w="6350">
                          <a:solidFill>
                            <a:schemeClr val="bg1"/>
                          </a:solidFill>
                        </a:ln>
                      </wps:spPr>
                      <wps:txb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6471" id="_x0000_t202" coordsize="21600,21600" o:spt="202" path="m,l,21600r21600,l21600,xe">
                <v:stroke joinstyle="miter"/>
                <v:path gradientshapeok="t" o:connecttype="rect"/>
              </v:shapetype>
              <v:shape id="Text Box 1" o:spid="_x0000_s1026" type="#_x0000_t202" style="position:absolute;left:0;text-align:left;margin-left:70.95pt;margin-top:4.85pt;width:317.9pt;height:10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" fillcolor="white [3201]" strokecolor="white [3212]" strokeweight=".5pt">
                <v:textbo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v:textbox>
              </v:shape>
            </w:pict>
          </mc:Fallback>
        </mc:AlternateContent>
      </w:r>
    </w:p>
    <w:p w14:paraId="371C35A8" w14:textId="77777777" w:rsidR="00052ECF" w:rsidRDefault="00052ECF" w:rsidP="00E9653E">
      <w:pPr>
        <w:ind w:firstLine="0"/>
        <w:rPr>
          <w:b/>
          <w:highlight w:val="white"/>
        </w:rPr>
      </w:pPr>
    </w:p>
    <w:p w14:paraId="5FD0715B" w14:textId="50C02E69" w:rsidR="00295DF9" w:rsidRDefault="00295DF9" w:rsidP="00E9653E">
      <w:pPr>
        <w:ind w:firstLine="0"/>
        <w:rPr>
          <w:b/>
          <w:highlight w:val="white"/>
        </w:rPr>
      </w:pPr>
    </w:p>
    <w:p w14:paraId="77C15DBD" w14:textId="77777777" w:rsidR="00C93967" w:rsidRDefault="00C93967" w:rsidP="00E9653E">
      <w:pPr>
        <w:ind w:firstLine="0"/>
        <w:rPr>
          <w:b/>
          <w:highlight w:val="white"/>
        </w:rPr>
      </w:pPr>
    </w:p>
    <w:p w14:paraId="5E6E23A0" w14:textId="21A0D627" w:rsidR="00EC347C" w:rsidRDefault="00EC347C" w:rsidP="00E9653E">
      <w:pPr>
        <w:ind w:firstLine="0"/>
        <w:rPr>
          <w:b/>
          <w:highlight w:val="white"/>
        </w:rPr>
      </w:pPr>
    </w:p>
    <w:p w14:paraId="032EB523" w14:textId="58034B6E" w:rsidR="00EC347C" w:rsidRDefault="00EC347C" w:rsidP="00E9653E">
      <w:pPr>
        <w:ind w:firstLine="0"/>
        <w:rPr>
          <w:b/>
          <w:highlight w:val="white"/>
        </w:rPr>
      </w:pPr>
    </w:p>
    <w:p w14:paraId="11719F98" w14:textId="77777777" w:rsidR="00716A03" w:rsidRDefault="00716A03" w:rsidP="00E9653E">
      <w:pPr>
        <w:ind w:firstLine="0"/>
        <w:rPr>
          <w:b/>
          <w:highlight w:val="white"/>
        </w:rPr>
      </w:pPr>
    </w:p>
    <w:p w14:paraId="380F5E39" w14:textId="77777777" w:rsidR="00522E1A" w:rsidRDefault="00522E1A" w:rsidP="00E9653E">
      <w:pPr>
        <w:ind w:firstLine="0"/>
        <w:rPr>
          <w:b/>
          <w:highlight w:val="white"/>
        </w:rPr>
      </w:pPr>
    </w:p>
    <w:p w14:paraId="7DE64564" w14:textId="77777777" w:rsidR="00CD629D" w:rsidRDefault="00CD629D" w:rsidP="00E9653E">
      <w:pPr>
        <w:ind w:firstLine="0"/>
        <w:rPr>
          <w:b/>
          <w:highlight w:val="white"/>
        </w:rPr>
      </w:pPr>
    </w:p>
    <w:p w14:paraId="2C9FB1E6" w14:textId="0B120809" w:rsidR="00801D69" w:rsidRDefault="005937A8" w:rsidP="00E9653E">
      <w:pPr>
        <w:ind w:firstLine="0"/>
        <w:jc w:val="center"/>
        <w:rPr>
          <w:b/>
          <w:highlight w:val="white"/>
        </w:rPr>
      </w:pPr>
      <w:r>
        <w:rPr>
          <w:b/>
          <w:highlight w:val="white"/>
        </w:rPr>
        <w:t>NĂM</w:t>
      </w:r>
      <w:r w:rsidR="00551DE6">
        <w:rPr>
          <w:b/>
          <w:highlight w:val="white"/>
        </w:rPr>
        <w:t xml:space="preserve"> 202</w:t>
      </w:r>
      <w:r w:rsidR="00B05537">
        <w:rPr>
          <w:b/>
          <w:highlight w:val="white"/>
        </w:rPr>
        <w:t>5</w:t>
      </w:r>
    </w:p>
    <w:p w14:paraId="1B2A0811" w14:textId="22D05027" w:rsidR="00551DE6" w:rsidRDefault="00551DE6" w:rsidP="00E9653E">
      <w:r>
        <w:br w:type="page"/>
      </w:r>
    </w:p>
    <w:sdt>
      <w:sdtPr>
        <w:rPr>
          <w:rFonts w:eastAsia="Times New Roman" w:cs="Times New Roman"/>
          <w:b w:val="0"/>
          <w:color w:val="auto"/>
          <w:szCs w:val="28"/>
        </w:rPr>
        <w:id w:val="1317688631"/>
        <w:docPartObj>
          <w:docPartGallery w:val="Table of Contents"/>
          <w:docPartUnique/>
        </w:docPartObj>
      </w:sdtPr>
      <w:sdtEndPr>
        <w:rPr>
          <w:bCs/>
          <w:noProof/>
        </w:rPr>
      </w:sdtEndPr>
      <w:sdtContent>
        <w:p w14:paraId="18EED5A0" w14:textId="0A8ED7F7" w:rsidR="00BA689F" w:rsidRDefault="00BA689F" w:rsidP="00E9653E">
          <w:pPr>
            <w:pStyle w:val="TOCHeading"/>
            <w:spacing w:line="360" w:lineRule="auto"/>
            <w:jc w:val="center"/>
          </w:pPr>
          <w:r>
            <w:t>MỤC LỤC</w:t>
          </w:r>
        </w:p>
        <w:p w14:paraId="5FE71B77" w14:textId="76CD75C9" w:rsidR="00E9653E" w:rsidRDefault="00BA689F" w:rsidP="00E9653E">
          <w:pPr>
            <w:pStyle w:val="TOC1"/>
            <w:spacing w:after="0"/>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15749014" w:history="1">
            <w:r w:rsidR="00E9653E" w:rsidRPr="00203E39">
              <w:rPr>
                <w:rStyle w:val="Hyperlink"/>
              </w:rPr>
              <w:t>CHƯƠNG 1. ĐIỂM GIỐNG NHAU TRONG CHẾ ĐỊNH GIẢM HÌNH PHẠT ĐÃ TUYÊN GIỮA VIỆT NAM VÀ TRUNG QUỐC</w:t>
            </w:r>
            <w:r w:rsidR="00E9653E">
              <w:rPr>
                <w:webHidden/>
              </w:rPr>
              <w:tab/>
            </w:r>
            <w:r w:rsidR="00E9653E">
              <w:rPr>
                <w:webHidden/>
              </w:rPr>
              <w:fldChar w:fldCharType="begin"/>
            </w:r>
            <w:r w:rsidR="00E9653E">
              <w:rPr>
                <w:webHidden/>
              </w:rPr>
              <w:instrText xml:space="preserve"> PAGEREF _Toc215749014 \h </w:instrText>
            </w:r>
            <w:r w:rsidR="00E9653E">
              <w:rPr>
                <w:webHidden/>
              </w:rPr>
            </w:r>
            <w:r w:rsidR="00E9653E">
              <w:rPr>
                <w:webHidden/>
              </w:rPr>
              <w:fldChar w:fldCharType="separate"/>
            </w:r>
            <w:r w:rsidR="00516E74">
              <w:rPr>
                <w:webHidden/>
              </w:rPr>
              <w:t>1</w:t>
            </w:r>
            <w:r w:rsidR="00E9653E">
              <w:rPr>
                <w:webHidden/>
              </w:rPr>
              <w:fldChar w:fldCharType="end"/>
            </w:r>
          </w:hyperlink>
        </w:p>
        <w:p w14:paraId="40158D35" w14:textId="4BA41ABF" w:rsidR="00E9653E" w:rsidRDefault="007B3520" w:rsidP="00E9653E">
          <w:pPr>
            <w:pStyle w:val="TOC2"/>
            <w:rPr>
              <w:rFonts w:asciiTheme="minorHAnsi" w:eastAsiaTheme="minorEastAsia" w:hAnsiTheme="minorHAnsi" w:cstheme="minorBidi"/>
              <w:sz w:val="22"/>
              <w:szCs w:val="22"/>
            </w:rPr>
          </w:pPr>
          <w:hyperlink w:anchor="_Toc215749015" w:history="1">
            <w:r w:rsidR="00E9653E" w:rsidRPr="00203E39">
              <w:rPr>
                <w:rStyle w:val="Hyperlink"/>
              </w:rPr>
              <w:t>1.1. Mục đích và triết lý chung của chế định</w:t>
            </w:r>
            <w:r w:rsidR="00E9653E">
              <w:rPr>
                <w:webHidden/>
              </w:rPr>
              <w:tab/>
            </w:r>
            <w:r w:rsidR="00E9653E">
              <w:rPr>
                <w:webHidden/>
              </w:rPr>
              <w:fldChar w:fldCharType="begin"/>
            </w:r>
            <w:r w:rsidR="00E9653E">
              <w:rPr>
                <w:webHidden/>
              </w:rPr>
              <w:instrText xml:space="preserve"> PAGEREF _Toc215749015 \h </w:instrText>
            </w:r>
            <w:r w:rsidR="00E9653E">
              <w:rPr>
                <w:webHidden/>
              </w:rPr>
            </w:r>
            <w:r w:rsidR="00E9653E">
              <w:rPr>
                <w:webHidden/>
              </w:rPr>
              <w:fldChar w:fldCharType="separate"/>
            </w:r>
            <w:r w:rsidR="00516E74">
              <w:rPr>
                <w:webHidden/>
              </w:rPr>
              <w:t>1</w:t>
            </w:r>
            <w:r w:rsidR="00E9653E">
              <w:rPr>
                <w:webHidden/>
              </w:rPr>
              <w:fldChar w:fldCharType="end"/>
            </w:r>
          </w:hyperlink>
        </w:p>
        <w:p w14:paraId="15D6F017" w14:textId="14C1C3BE" w:rsidR="00E9653E" w:rsidRDefault="007B3520" w:rsidP="00E9653E">
          <w:pPr>
            <w:pStyle w:val="TOC2"/>
            <w:rPr>
              <w:rFonts w:asciiTheme="minorHAnsi" w:eastAsiaTheme="minorEastAsia" w:hAnsiTheme="minorHAnsi" w:cstheme="minorBidi"/>
              <w:sz w:val="22"/>
              <w:szCs w:val="22"/>
            </w:rPr>
          </w:pPr>
          <w:hyperlink w:anchor="_Toc215749016" w:history="1">
            <w:r w:rsidR="00E9653E" w:rsidRPr="00203E39">
              <w:rPr>
                <w:rStyle w:val="Hyperlink"/>
              </w:rPr>
              <w:t>1.2. Phạm vi đối tượng và thủ tục</w:t>
            </w:r>
            <w:r w:rsidR="00E9653E">
              <w:rPr>
                <w:webHidden/>
              </w:rPr>
              <w:tab/>
            </w:r>
            <w:r w:rsidR="00E9653E">
              <w:rPr>
                <w:webHidden/>
              </w:rPr>
              <w:fldChar w:fldCharType="begin"/>
            </w:r>
            <w:r w:rsidR="00E9653E">
              <w:rPr>
                <w:webHidden/>
              </w:rPr>
              <w:instrText xml:space="preserve"> PAGEREF _Toc215749016 \h </w:instrText>
            </w:r>
            <w:r w:rsidR="00E9653E">
              <w:rPr>
                <w:webHidden/>
              </w:rPr>
            </w:r>
            <w:r w:rsidR="00E9653E">
              <w:rPr>
                <w:webHidden/>
              </w:rPr>
              <w:fldChar w:fldCharType="separate"/>
            </w:r>
            <w:r w:rsidR="00516E74">
              <w:rPr>
                <w:webHidden/>
              </w:rPr>
              <w:t>1</w:t>
            </w:r>
            <w:r w:rsidR="00E9653E">
              <w:rPr>
                <w:webHidden/>
              </w:rPr>
              <w:fldChar w:fldCharType="end"/>
            </w:r>
          </w:hyperlink>
        </w:p>
        <w:p w14:paraId="71C560EB" w14:textId="6C1D9284" w:rsidR="00E9653E" w:rsidRDefault="007B3520" w:rsidP="00E9653E">
          <w:pPr>
            <w:pStyle w:val="TOC2"/>
            <w:rPr>
              <w:rFonts w:asciiTheme="minorHAnsi" w:eastAsiaTheme="minorEastAsia" w:hAnsiTheme="minorHAnsi" w:cstheme="minorBidi"/>
              <w:sz w:val="22"/>
              <w:szCs w:val="22"/>
            </w:rPr>
          </w:pPr>
          <w:hyperlink w:anchor="_Toc215749017" w:history="1">
            <w:r w:rsidR="00E9653E" w:rsidRPr="00203E39">
              <w:rPr>
                <w:rStyle w:val="Hyperlink"/>
              </w:rPr>
              <w:t>1.3. Nguyên tắc thời gian chấp hành tối thiểu và vai trò của lập công</w:t>
            </w:r>
            <w:r w:rsidR="00E9653E">
              <w:rPr>
                <w:webHidden/>
              </w:rPr>
              <w:tab/>
            </w:r>
            <w:r w:rsidR="00E9653E">
              <w:rPr>
                <w:webHidden/>
              </w:rPr>
              <w:fldChar w:fldCharType="begin"/>
            </w:r>
            <w:r w:rsidR="00E9653E">
              <w:rPr>
                <w:webHidden/>
              </w:rPr>
              <w:instrText xml:space="preserve"> PAGEREF _Toc215749017 \h </w:instrText>
            </w:r>
            <w:r w:rsidR="00E9653E">
              <w:rPr>
                <w:webHidden/>
              </w:rPr>
            </w:r>
            <w:r w:rsidR="00E9653E">
              <w:rPr>
                <w:webHidden/>
              </w:rPr>
              <w:fldChar w:fldCharType="separate"/>
            </w:r>
            <w:r w:rsidR="00516E74">
              <w:rPr>
                <w:webHidden/>
              </w:rPr>
              <w:t>2</w:t>
            </w:r>
            <w:r w:rsidR="00E9653E">
              <w:rPr>
                <w:webHidden/>
              </w:rPr>
              <w:fldChar w:fldCharType="end"/>
            </w:r>
          </w:hyperlink>
        </w:p>
        <w:p w14:paraId="3C240AE9" w14:textId="749F9479" w:rsidR="00E9653E" w:rsidRDefault="007B3520" w:rsidP="00E9653E">
          <w:pPr>
            <w:pStyle w:val="TOC1"/>
            <w:spacing w:after="0"/>
            <w:rPr>
              <w:rFonts w:asciiTheme="minorHAnsi" w:eastAsiaTheme="minorEastAsia" w:hAnsiTheme="minorHAnsi" w:cstheme="minorBidi"/>
              <w:b w:val="0"/>
              <w:sz w:val="22"/>
              <w:szCs w:val="22"/>
            </w:rPr>
          </w:pPr>
          <w:hyperlink w:anchor="_Toc215749018" w:history="1">
            <w:r w:rsidR="00E9653E" w:rsidRPr="00203E39">
              <w:rPr>
                <w:rStyle w:val="Hyperlink"/>
              </w:rPr>
              <w:t>CHƯƠNG 2. ĐIỂM KHÁC NHAU TRONG CHẾ ĐỊNH GIẢM HÌNH PHẠT ĐÃ TUYÊN GIỮA VIỆT NAM VÀ TRUNG QUỐC</w:t>
            </w:r>
            <w:r w:rsidR="00E9653E">
              <w:rPr>
                <w:webHidden/>
              </w:rPr>
              <w:tab/>
            </w:r>
            <w:r w:rsidR="00E9653E">
              <w:rPr>
                <w:webHidden/>
              </w:rPr>
              <w:fldChar w:fldCharType="begin"/>
            </w:r>
            <w:r w:rsidR="00E9653E">
              <w:rPr>
                <w:webHidden/>
              </w:rPr>
              <w:instrText xml:space="preserve"> PAGEREF _Toc215749018 \h </w:instrText>
            </w:r>
            <w:r w:rsidR="00E9653E">
              <w:rPr>
                <w:webHidden/>
              </w:rPr>
            </w:r>
            <w:r w:rsidR="00E9653E">
              <w:rPr>
                <w:webHidden/>
              </w:rPr>
              <w:fldChar w:fldCharType="separate"/>
            </w:r>
            <w:r w:rsidR="00516E74">
              <w:rPr>
                <w:webHidden/>
              </w:rPr>
              <w:t>4</w:t>
            </w:r>
            <w:r w:rsidR="00E9653E">
              <w:rPr>
                <w:webHidden/>
              </w:rPr>
              <w:fldChar w:fldCharType="end"/>
            </w:r>
          </w:hyperlink>
        </w:p>
        <w:p w14:paraId="4DC36A14" w14:textId="5F2C0507" w:rsidR="00E9653E" w:rsidRDefault="007B3520" w:rsidP="00E9653E">
          <w:pPr>
            <w:pStyle w:val="TOC2"/>
            <w:rPr>
              <w:rFonts w:asciiTheme="minorHAnsi" w:eastAsiaTheme="minorEastAsia" w:hAnsiTheme="minorHAnsi" w:cstheme="minorBidi"/>
              <w:sz w:val="22"/>
              <w:szCs w:val="22"/>
            </w:rPr>
          </w:pPr>
          <w:hyperlink w:anchor="_Toc215749019" w:history="1">
            <w:r w:rsidR="00E9653E" w:rsidRPr="00203E39">
              <w:rPr>
                <w:rStyle w:val="Hyperlink"/>
              </w:rPr>
              <w:t>2.1. Cấu trúc điều kiện giảm chấp hình hình phạt và vai trò của lập công lớn</w:t>
            </w:r>
            <w:r w:rsidR="00E9653E">
              <w:rPr>
                <w:webHidden/>
              </w:rPr>
              <w:tab/>
            </w:r>
            <w:r w:rsidR="00E9653E">
              <w:rPr>
                <w:webHidden/>
              </w:rPr>
              <w:fldChar w:fldCharType="begin"/>
            </w:r>
            <w:r w:rsidR="00E9653E">
              <w:rPr>
                <w:webHidden/>
              </w:rPr>
              <w:instrText xml:space="preserve"> PAGEREF _Toc215749019 \h </w:instrText>
            </w:r>
            <w:r w:rsidR="00E9653E">
              <w:rPr>
                <w:webHidden/>
              </w:rPr>
            </w:r>
            <w:r w:rsidR="00E9653E">
              <w:rPr>
                <w:webHidden/>
              </w:rPr>
              <w:fldChar w:fldCharType="separate"/>
            </w:r>
            <w:r w:rsidR="00516E74">
              <w:rPr>
                <w:webHidden/>
              </w:rPr>
              <w:t>4</w:t>
            </w:r>
            <w:r w:rsidR="00E9653E">
              <w:rPr>
                <w:webHidden/>
              </w:rPr>
              <w:fldChar w:fldCharType="end"/>
            </w:r>
          </w:hyperlink>
        </w:p>
        <w:p w14:paraId="5CC96E82" w14:textId="73451F81" w:rsidR="00E9653E" w:rsidRDefault="007B3520" w:rsidP="00E9653E">
          <w:pPr>
            <w:pStyle w:val="TOC2"/>
            <w:rPr>
              <w:rFonts w:asciiTheme="minorHAnsi" w:eastAsiaTheme="minorEastAsia" w:hAnsiTheme="minorHAnsi" w:cstheme="minorBidi"/>
              <w:sz w:val="22"/>
              <w:szCs w:val="22"/>
            </w:rPr>
          </w:pPr>
          <w:hyperlink w:anchor="_Toc215749020" w:history="1">
            <w:r w:rsidR="00E9653E" w:rsidRPr="00203E39">
              <w:rPr>
                <w:rStyle w:val="Hyperlink"/>
              </w:rPr>
              <w:t>2.2. Tính chất quyết định và phạm vi đối tượng bị hạn chế</w:t>
            </w:r>
            <w:r w:rsidR="00E9653E">
              <w:rPr>
                <w:webHidden/>
              </w:rPr>
              <w:tab/>
            </w:r>
            <w:r w:rsidR="00E9653E">
              <w:rPr>
                <w:webHidden/>
              </w:rPr>
              <w:fldChar w:fldCharType="begin"/>
            </w:r>
            <w:r w:rsidR="00E9653E">
              <w:rPr>
                <w:webHidden/>
              </w:rPr>
              <w:instrText xml:space="preserve"> PAGEREF _Toc215749020 \h </w:instrText>
            </w:r>
            <w:r w:rsidR="00E9653E">
              <w:rPr>
                <w:webHidden/>
              </w:rPr>
            </w:r>
            <w:r w:rsidR="00E9653E">
              <w:rPr>
                <w:webHidden/>
              </w:rPr>
              <w:fldChar w:fldCharType="separate"/>
            </w:r>
            <w:r w:rsidR="00516E74">
              <w:rPr>
                <w:webHidden/>
              </w:rPr>
              <w:t>5</w:t>
            </w:r>
            <w:r w:rsidR="00E9653E">
              <w:rPr>
                <w:webHidden/>
              </w:rPr>
              <w:fldChar w:fldCharType="end"/>
            </w:r>
          </w:hyperlink>
        </w:p>
        <w:p w14:paraId="36A16AFC" w14:textId="6AB48B71" w:rsidR="00E9653E" w:rsidRDefault="007B3520" w:rsidP="00E9653E">
          <w:pPr>
            <w:pStyle w:val="TOC2"/>
            <w:rPr>
              <w:rFonts w:asciiTheme="minorHAnsi" w:eastAsiaTheme="minorEastAsia" w:hAnsiTheme="minorHAnsi" w:cstheme="minorBidi"/>
              <w:sz w:val="22"/>
              <w:szCs w:val="22"/>
            </w:rPr>
          </w:pPr>
          <w:hyperlink w:anchor="_Toc215749021" w:history="1">
            <w:r w:rsidR="00E9653E" w:rsidRPr="00203E39">
              <w:rPr>
                <w:rStyle w:val="Hyperlink"/>
              </w:rPr>
              <w:t>2.3. Ngưỡng thời gian và mức giảm cụ thể</w:t>
            </w:r>
            <w:r w:rsidR="00E9653E">
              <w:rPr>
                <w:webHidden/>
              </w:rPr>
              <w:tab/>
            </w:r>
            <w:r w:rsidR="00E9653E">
              <w:rPr>
                <w:webHidden/>
              </w:rPr>
              <w:fldChar w:fldCharType="begin"/>
            </w:r>
            <w:r w:rsidR="00E9653E">
              <w:rPr>
                <w:webHidden/>
              </w:rPr>
              <w:instrText xml:space="preserve"> PAGEREF _Toc215749021 \h </w:instrText>
            </w:r>
            <w:r w:rsidR="00E9653E">
              <w:rPr>
                <w:webHidden/>
              </w:rPr>
            </w:r>
            <w:r w:rsidR="00E9653E">
              <w:rPr>
                <w:webHidden/>
              </w:rPr>
              <w:fldChar w:fldCharType="separate"/>
            </w:r>
            <w:r w:rsidR="00516E74">
              <w:rPr>
                <w:webHidden/>
              </w:rPr>
              <w:t>5</w:t>
            </w:r>
            <w:r w:rsidR="00E9653E">
              <w:rPr>
                <w:webHidden/>
              </w:rPr>
              <w:fldChar w:fldCharType="end"/>
            </w:r>
          </w:hyperlink>
        </w:p>
        <w:p w14:paraId="699225C1" w14:textId="2D662A12" w:rsidR="00E9653E" w:rsidRDefault="007B3520" w:rsidP="00E9653E">
          <w:pPr>
            <w:pStyle w:val="TOC1"/>
            <w:spacing w:after="0"/>
            <w:rPr>
              <w:rFonts w:asciiTheme="minorHAnsi" w:eastAsiaTheme="minorEastAsia" w:hAnsiTheme="minorHAnsi" w:cstheme="minorBidi"/>
              <w:b w:val="0"/>
              <w:sz w:val="22"/>
              <w:szCs w:val="22"/>
            </w:rPr>
          </w:pPr>
          <w:hyperlink w:anchor="_Toc215749022" w:history="1">
            <w:r w:rsidR="00E9653E" w:rsidRPr="00203E39">
              <w:rPr>
                <w:rStyle w:val="Hyperlink"/>
              </w:rPr>
              <w:t>CHƯƠNG 3. BÀI HỌC KINH NGHIỆM VÀ KIẾN NGHỊ HOÀN THIỆN CHO PHÁP LUẬT VIỆT NAM</w:t>
            </w:r>
            <w:r w:rsidR="00E9653E">
              <w:rPr>
                <w:webHidden/>
              </w:rPr>
              <w:tab/>
            </w:r>
            <w:r w:rsidR="00E9653E">
              <w:rPr>
                <w:webHidden/>
              </w:rPr>
              <w:fldChar w:fldCharType="begin"/>
            </w:r>
            <w:r w:rsidR="00E9653E">
              <w:rPr>
                <w:webHidden/>
              </w:rPr>
              <w:instrText xml:space="preserve"> PAGEREF _Toc215749022 \h </w:instrText>
            </w:r>
            <w:r w:rsidR="00E9653E">
              <w:rPr>
                <w:webHidden/>
              </w:rPr>
            </w:r>
            <w:r w:rsidR="00E9653E">
              <w:rPr>
                <w:webHidden/>
              </w:rPr>
              <w:fldChar w:fldCharType="separate"/>
            </w:r>
            <w:r w:rsidR="00516E74">
              <w:rPr>
                <w:webHidden/>
              </w:rPr>
              <w:t>7</w:t>
            </w:r>
            <w:r w:rsidR="00E9653E">
              <w:rPr>
                <w:webHidden/>
              </w:rPr>
              <w:fldChar w:fldCharType="end"/>
            </w:r>
          </w:hyperlink>
        </w:p>
        <w:p w14:paraId="26BF3FA5" w14:textId="268B935F" w:rsidR="00E9653E" w:rsidRDefault="007B3520" w:rsidP="00E9653E">
          <w:pPr>
            <w:pStyle w:val="TOC1"/>
            <w:spacing w:after="0"/>
            <w:rPr>
              <w:rFonts w:asciiTheme="minorHAnsi" w:eastAsiaTheme="minorEastAsia" w:hAnsiTheme="minorHAnsi" w:cstheme="minorBidi"/>
              <w:b w:val="0"/>
              <w:sz w:val="22"/>
              <w:szCs w:val="22"/>
            </w:rPr>
          </w:pPr>
          <w:hyperlink w:anchor="_Toc215749023" w:history="1">
            <w:r w:rsidR="00E9653E" w:rsidRPr="00203E39">
              <w:rPr>
                <w:rStyle w:val="Hyperlink"/>
              </w:rPr>
              <w:t>DANH MỤC TÀI LIỆU THAM KHẢO</w:t>
            </w:r>
            <w:r w:rsidR="00E9653E">
              <w:rPr>
                <w:webHidden/>
              </w:rPr>
              <w:tab/>
            </w:r>
            <w:r w:rsidR="00E9653E">
              <w:rPr>
                <w:webHidden/>
              </w:rPr>
              <w:fldChar w:fldCharType="begin"/>
            </w:r>
            <w:r w:rsidR="00E9653E">
              <w:rPr>
                <w:webHidden/>
              </w:rPr>
              <w:instrText xml:space="preserve"> PAGEREF _Toc215749023 \h </w:instrText>
            </w:r>
            <w:r w:rsidR="00E9653E">
              <w:rPr>
                <w:webHidden/>
              </w:rPr>
            </w:r>
            <w:r w:rsidR="00E9653E">
              <w:rPr>
                <w:webHidden/>
              </w:rPr>
              <w:fldChar w:fldCharType="separate"/>
            </w:r>
            <w:r w:rsidR="00516E74">
              <w:rPr>
                <w:webHidden/>
              </w:rPr>
              <w:t>8</w:t>
            </w:r>
            <w:r w:rsidR="00E9653E">
              <w:rPr>
                <w:webHidden/>
              </w:rPr>
              <w:fldChar w:fldCharType="end"/>
            </w:r>
          </w:hyperlink>
        </w:p>
        <w:p w14:paraId="1D861353" w14:textId="052F13D5" w:rsidR="00BA689F" w:rsidRDefault="00BA689F" w:rsidP="00E9653E">
          <w:r>
            <w:rPr>
              <w:b/>
              <w:bCs/>
              <w:noProof/>
            </w:rPr>
            <w:fldChar w:fldCharType="end"/>
          </w:r>
        </w:p>
      </w:sdtContent>
    </w:sdt>
    <w:p w14:paraId="1518E8FD" w14:textId="6EA564C2" w:rsidR="00455E85" w:rsidRDefault="00455E85" w:rsidP="00E9653E">
      <w:r>
        <w:br w:type="page"/>
      </w:r>
    </w:p>
    <w:p w14:paraId="3E319890" w14:textId="13817137" w:rsidR="00827985" w:rsidRDefault="00455E85" w:rsidP="00E9653E">
      <w:pPr>
        <w:ind w:firstLine="0"/>
        <w:jc w:val="center"/>
        <w:rPr>
          <w:rFonts w:eastAsiaTheme="majorEastAsia" w:cstheme="majorBidi"/>
          <w:b/>
          <w:color w:val="2E74B5" w:themeColor="accent1" w:themeShade="BF"/>
          <w:szCs w:val="32"/>
        </w:rPr>
      </w:pPr>
      <w:r>
        <w:rPr>
          <w:rFonts w:eastAsiaTheme="majorEastAsia" w:cstheme="majorBidi"/>
          <w:b/>
          <w:color w:val="2E74B5" w:themeColor="accent1" w:themeShade="BF"/>
          <w:szCs w:val="32"/>
        </w:rPr>
        <w:lastRenderedPageBreak/>
        <w:t xml:space="preserve">DANH MỤC </w:t>
      </w:r>
      <w:r w:rsidR="00B05537">
        <w:rPr>
          <w:rFonts w:eastAsiaTheme="majorEastAsia" w:cstheme="majorBidi"/>
          <w:b/>
          <w:color w:val="2E74B5" w:themeColor="accent1" w:themeShade="BF"/>
          <w:szCs w:val="32"/>
        </w:rPr>
        <w:t>TỪ VIẾT TẮT</w:t>
      </w:r>
    </w:p>
    <w:tbl>
      <w:tblPr>
        <w:tblStyle w:val="TableGrid"/>
        <w:tblW w:w="0" w:type="auto"/>
        <w:tblLayout w:type="fixed"/>
        <w:tblLook w:val="04A0" w:firstRow="1" w:lastRow="0" w:firstColumn="1" w:lastColumn="0" w:noHBand="0" w:noVBand="1"/>
      </w:tblPr>
      <w:tblGrid>
        <w:gridCol w:w="2830"/>
        <w:gridCol w:w="6180"/>
      </w:tblGrid>
      <w:tr w:rsidR="008844C8" w14:paraId="34285A3D" w14:textId="77777777" w:rsidTr="00A4030A">
        <w:tc>
          <w:tcPr>
            <w:tcW w:w="2830" w:type="dxa"/>
          </w:tcPr>
          <w:p w14:paraId="087CA626" w14:textId="46E71DF9" w:rsidR="008844C8" w:rsidRDefault="008844C8" w:rsidP="00E9653E">
            <w:pPr>
              <w:spacing w:line="360" w:lineRule="auto"/>
              <w:ind w:firstLine="0"/>
              <w:rPr>
                <w:rFonts w:eastAsiaTheme="majorEastAsia" w:cstheme="majorBidi"/>
                <w:b/>
                <w:color w:val="2E74B5" w:themeColor="accent1" w:themeShade="BF"/>
                <w:szCs w:val="32"/>
              </w:rPr>
            </w:pPr>
            <w:r w:rsidRPr="00DE21B4">
              <w:t>BLHS</w:t>
            </w:r>
          </w:p>
        </w:tc>
        <w:tc>
          <w:tcPr>
            <w:tcW w:w="6180" w:type="dxa"/>
          </w:tcPr>
          <w:p w14:paraId="30FEA5B8" w14:textId="5E46B273" w:rsidR="008844C8" w:rsidRDefault="008844C8" w:rsidP="00E9653E">
            <w:pPr>
              <w:spacing w:line="360" w:lineRule="auto"/>
              <w:ind w:firstLine="0"/>
              <w:rPr>
                <w:rFonts w:eastAsiaTheme="majorEastAsia" w:cstheme="majorBidi"/>
                <w:b/>
                <w:color w:val="2E74B5" w:themeColor="accent1" w:themeShade="BF"/>
                <w:szCs w:val="32"/>
              </w:rPr>
            </w:pPr>
            <w:r w:rsidRPr="00DE21B4">
              <w:t>Bộ luật hình sự</w:t>
            </w:r>
          </w:p>
        </w:tc>
      </w:tr>
      <w:tr w:rsidR="008844C8" w14:paraId="0D302EC9" w14:textId="77777777" w:rsidTr="00A4030A">
        <w:tc>
          <w:tcPr>
            <w:tcW w:w="2830" w:type="dxa"/>
          </w:tcPr>
          <w:p w14:paraId="2111FCDD" w14:textId="0FC2EBBB" w:rsidR="008844C8" w:rsidRPr="008B0046" w:rsidRDefault="00D32A33" w:rsidP="00E9653E">
            <w:pPr>
              <w:spacing w:line="360" w:lineRule="auto"/>
              <w:ind w:firstLine="0"/>
            </w:pPr>
            <w:r>
              <w:rPr>
                <w:spacing w:val="-2"/>
                <w:sz w:val="26"/>
              </w:rPr>
              <w:t>VKSND</w:t>
            </w:r>
          </w:p>
        </w:tc>
        <w:tc>
          <w:tcPr>
            <w:tcW w:w="6180" w:type="dxa"/>
          </w:tcPr>
          <w:p w14:paraId="4A1E730A" w14:textId="3CBFD85C" w:rsidR="008844C8" w:rsidRPr="008B0046" w:rsidRDefault="00D32A33" w:rsidP="00E9653E">
            <w:pPr>
              <w:spacing w:line="360" w:lineRule="auto"/>
              <w:ind w:firstLine="0"/>
            </w:pPr>
            <w:r>
              <w:rPr>
                <w:sz w:val="26"/>
              </w:rPr>
              <w:t>Viện</w:t>
            </w:r>
            <w:r>
              <w:rPr>
                <w:spacing w:val="-10"/>
                <w:sz w:val="26"/>
              </w:rPr>
              <w:t xml:space="preserve"> </w:t>
            </w:r>
            <w:r>
              <w:rPr>
                <w:sz w:val="26"/>
              </w:rPr>
              <w:t>Kiểm</w:t>
            </w:r>
            <w:r>
              <w:rPr>
                <w:spacing w:val="-10"/>
                <w:sz w:val="26"/>
              </w:rPr>
              <w:t xml:space="preserve"> </w:t>
            </w:r>
            <w:r>
              <w:rPr>
                <w:sz w:val="26"/>
              </w:rPr>
              <w:t>sát</w:t>
            </w:r>
            <w:r>
              <w:rPr>
                <w:spacing w:val="-8"/>
                <w:sz w:val="26"/>
              </w:rPr>
              <w:t xml:space="preserve"> </w:t>
            </w:r>
            <w:r>
              <w:rPr>
                <w:sz w:val="26"/>
              </w:rPr>
              <w:t>nhân</w:t>
            </w:r>
            <w:r>
              <w:rPr>
                <w:spacing w:val="-9"/>
                <w:sz w:val="26"/>
              </w:rPr>
              <w:t xml:space="preserve"> </w:t>
            </w:r>
            <w:r>
              <w:rPr>
                <w:spacing w:val="-5"/>
                <w:sz w:val="26"/>
              </w:rPr>
              <w:t>dân</w:t>
            </w:r>
          </w:p>
        </w:tc>
      </w:tr>
      <w:tr w:rsidR="00D32A33" w14:paraId="3E53EF22" w14:textId="77777777" w:rsidTr="00A4030A">
        <w:tc>
          <w:tcPr>
            <w:tcW w:w="2830" w:type="dxa"/>
          </w:tcPr>
          <w:p w14:paraId="40538570" w14:textId="5EFEEA48" w:rsidR="00D32A33" w:rsidRPr="00DE21B4" w:rsidRDefault="00D32A33" w:rsidP="00E9653E">
            <w:pPr>
              <w:spacing w:line="360" w:lineRule="auto"/>
              <w:ind w:firstLine="0"/>
            </w:pPr>
            <w:r>
              <w:rPr>
                <w:spacing w:val="-5"/>
                <w:sz w:val="26"/>
              </w:rPr>
              <w:t>SPC</w:t>
            </w:r>
          </w:p>
        </w:tc>
        <w:tc>
          <w:tcPr>
            <w:tcW w:w="6180" w:type="dxa"/>
          </w:tcPr>
          <w:p w14:paraId="5F32E3A4" w14:textId="5536BA2D" w:rsidR="00D32A33" w:rsidRPr="00DE21B4" w:rsidRDefault="00D32A33" w:rsidP="00E9653E">
            <w:pPr>
              <w:spacing w:line="360" w:lineRule="auto"/>
              <w:ind w:firstLine="0"/>
            </w:pPr>
            <w:r>
              <w:rPr>
                <w:sz w:val="26"/>
              </w:rPr>
              <w:t>Quy</w:t>
            </w:r>
            <w:r>
              <w:rPr>
                <w:spacing w:val="-4"/>
                <w:sz w:val="26"/>
              </w:rPr>
              <w:t xml:space="preserve"> </w:t>
            </w:r>
            <w:r>
              <w:rPr>
                <w:sz w:val="26"/>
              </w:rPr>
              <w:t>định</w:t>
            </w:r>
            <w:r>
              <w:rPr>
                <w:spacing w:val="-4"/>
                <w:sz w:val="26"/>
              </w:rPr>
              <w:t xml:space="preserve"> </w:t>
            </w:r>
            <w:r>
              <w:rPr>
                <w:sz w:val="26"/>
              </w:rPr>
              <w:t>của</w:t>
            </w:r>
            <w:r>
              <w:rPr>
                <w:spacing w:val="-8"/>
                <w:sz w:val="26"/>
              </w:rPr>
              <w:t xml:space="preserve"> </w:t>
            </w:r>
            <w:r>
              <w:rPr>
                <w:sz w:val="26"/>
              </w:rPr>
              <w:t>Tòa</w:t>
            </w:r>
            <w:r>
              <w:rPr>
                <w:spacing w:val="-4"/>
                <w:sz w:val="26"/>
              </w:rPr>
              <w:t xml:space="preserve"> </w:t>
            </w:r>
            <w:r>
              <w:rPr>
                <w:sz w:val="26"/>
              </w:rPr>
              <w:t>án</w:t>
            </w:r>
            <w:r>
              <w:rPr>
                <w:spacing w:val="-4"/>
                <w:sz w:val="26"/>
              </w:rPr>
              <w:t xml:space="preserve"> </w:t>
            </w:r>
            <w:r>
              <w:rPr>
                <w:sz w:val="26"/>
              </w:rPr>
              <w:t>Nhân</w:t>
            </w:r>
            <w:r>
              <w:rPr>
                <w:spacing w:val="-4"/>
                <w:sz w:val="26"/>
              </w:rPr>
              <w:t xml:space="preserve"> </w:t>
            </w:r>
            <w:r>
              <w:rPr>
                <w:sz w:val="26"/>
              </w:rPr>
              <w:t>dân</w:t>
            </w:r>
            <w:r>
              <w:rPr>
                <w:spacing w:val="-8"/>
                <w:sz w:val="26"/>
              </w:rPr>
              <w:t xml:space="preserve"> </w:t>
            </w:r>
            <w:r>
              <w:rPr>
                <w:sz w:val="26"/>
              </w:rPr>
              <w:t>Tối</w:t>
            </w:r>
            <w:r>
              <w:rPr>
                <w:spacing w:val="-4"/>
                <w:sz w:val="26"/>
              </w:rPr>
              <w:t xml:space="preserve"> </w:t>
            </w:r>
            <w:r>
              <w:rPr>
                <w:sz w:val="26"/>
              </w:rPr>
              <w:t>cao</w:t>
            </w:r>
            <w:r>
              <w:rPr>
                <w:spacing w:val="-4"/>
                <w:sz w:val="26"/>
              </w:rPr>
              <w:t xml:space="preserve"> </w:t>
            </w:r>
            <w:r>
              <w:rPr>
                <w:sz w:val="26"/>
              </w:rPr>
              <w:t>về</w:t>
            </w:r>
            <w:r>
              <w:rPr>
                <w:spacing w:val="-1"/>
                <w:sz w:val="26"/>
              </w:rPr>
              <w:t xml:space="preserve"> </w:t>
            </w:r>
            <w:r>
              <w:rPr>
                <w:sz w:val="26"/>
              </w:rPr>
              <w:t>việc</w:t>
            </w:r>
            <w:r>
              <w:rPr>
                <w:spacing w:val="-3"/>
                <w:sz w:val="26"/>
              </w:rPr>
              <w:t xml:space="preserve"> </w:t>
            </w:r>
            <w:r>
              <w:rPr>
                <w:sz w:val="26"/>
              </w:rPr>
              <w:t>áp dụng cụ thể pháp luật trong xử lý các vụ án giảm hình phạt và tha tù trước thời hạn của Cộng hòa Nhân dân Trung Hoa</w:t>
            </w:r>
          </w:p>
        </w:tc>
      </w:tr>
      <w:tr w:rsidR="00D32A33" w14:paraId="099E5FB0" w14:textId="77777777" w:rsidTr="00A4030A">
        <w:tc>
          <w:tcPr>
            <w:tcW w:w="2830" w:type="dxa"/>
          </w:tcPr>
          <w:p w14:paraId="381616B0" w14:textId="6DCCD7DD" w:rsidR="00D32A33" w:rsidRPr="00DE21B4" w:rsidRDefault="00D32A33" w:rsidP="00E9653E">
            <w:pPr>
              <w:spacing w:line="360" w:lineRule="auto"/>
              <w:ind w:firstLine="0"/>
            </w:pPr>
            <w:r>
              <w:rPr>
                <w:spacing w:val="-2"/>
                <w:sz w:val="26"/>
              </w:rPr>
              <w:t>GHPĐT</w:t>
            </w:r>
          </w:p>
        </w:tc>
        <w:tc>
          <w:tcPr>
            <w:tcW w:w="6180" w:type="dxa"/>
          </w:tcPr>
          <w:p w14:paraId="427124D2" w14:textId="3AACD451" w:rsidR="00D32A33" w:rsidRPr="00DE21B4" w:rsidRDefault="00D32A33" w:rsidP="00E9653E">
            <w:pPr>
              <w:spacing w:line="360" w:lineRule="auto"/>
              <w:ind w:firstLine="0"/>
            </w:pPr>
            <w:r>
              <w:rPr>
                <w:sz w:val="26"/>
              </w:rPr>
              <w:t>Giảm</w:t>
            </w:r>
            <w:r>
              <w:rPr>
                <w:spacing w:val="-6"/>
                <w:sz w:val="26"/>
              </w:rPr>
              <w:t xml:space="preserve"> </w:t>
            </w:r>
            <w:r>
              <w:rPr>
                <w:sz w:val="26"/>
              </w:rPr>
              <w:t>hình</w:t>
            </w:r>
            <w:r>
              <w:rPr>
                <w:spacing w:val="-3"/>
                <w:sz w:val="26"/>
              </w:rPr>
              <w:t xml:space="preserve"> </w:t>
            </w:r>
            <w:r>
              <w:rPr>
                <w:sz w:val="26"/>
              </w:rPr>
              <w:t>phạt</w:t>
            </w:r>
            <w:r>
              <w:rPr>
                <w:spacing w:val="-5"/>
                <w:sz w:val="26"/>
              </w:rPr>
              <w:t xml:space="preserve"> </w:t>
            </w:r>
            <w:r>
              <w:rPr>
                <w:sz w:val="26"/>
              </w:rPr>
              <w:t>đã</w:t>
            </w:r>
            <w:r>
              <w:rPr>
                <w:spacing w:val="-4"/>
                <w:sz w:val="26"/>
              </w:rPr>
              <w:t xml:space="preserve"> tuyên</w:t>
            </w:r>
          </w:p>
        </w:tc>
      </w:tr>
    </w:tbl>
    <w:p w14:paraId="0BA75286" w14:textId="77777777" w:rsidR="00193D99" w:rsidRPr="00EB07C6" w:rsidRDefault="00193D99" w:rsidP="00E9653E">
      <w:pPr>
        <w:ind w:firstLine="0"/>
        <w:rPr>
          <w:rFonts w:eastAsiaTheme="majorEastAsia" w:cstheme="majorBidi"/>
          <w:b/>
          <w:color w:val="2E74B5" w:themeColor="accent1" w:themeShade="BF"/>
          <w:szCs w:val="32"/>
        </w:rPr>
        <w:sectPr w:rsidR="00193D99" w:rsidRPr="00EB07C6" w:rsidSect="00716A03">
          <w:headerReference w:type="default" r:id="rId9"/>
          <w:pgSz w:w="11900" w:h="16840"/>
          <w:pgMar w:top="1814" w:right="1814" w:bottom="1814" w:left="1814" w:header="850" w:footer="6"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21037571" w14:textId="77777777" w:rsidR="007474B8" w:rsidRDefault="007474B8" w:rsidP="00E9653E"/>
    <w:p w14:paraId="1A84DD3A" w14:textId="1B839093" w:rsidR="00D32A33" w:rsidRDefault="00672887" w:rsidP="00E9653E">
      <w:pPr>
        <w:pStyle w:val="Heading1"/>
      </w:pPr>
      <w:bookmarkStart w:id="0" w:name="_Toc215749014"/>
      <w:r>
        <w:t>CHƯƠNG 1. ĐIỂM GIỐNG NHAU TRONG</w:t>
      </w:r>
      <w:r w:rsidR="00D32A33">
        <w:t xml:space="preserve"> CHẾ ĐỊNH GIẢM HÌNH PHẠT ĐÃ TUYÊN GIỮA VIỆT NAM VÀ TRUNG QUỐC</w:t>
      </w:r>
      <w:bookmarkEnd w:id="0"/>
    </w:p>
    <w:p w14:paraId="6BC39F52" w14:textId="51CD3651" w:rsidR="00D32A33" w:rsidRDefault="00672887" w:rsidP="00E9653E">
      <w:pPr>
        <w:pStyle w:val="Heading2"/>
      </w:pPr>
      <w:bookmarkStart w:id="1" w:name="_Toc215749015"/>
      <w:r>
        <w:t>1.</w:t>
      </w:r>
      <w:r w:rsidR="00D32A33">
        <w:t>1.</w:t>
      </w:r>
      <w:r>
        <w:t xml:space="preserve"> </w:t>
      </w:r>
      <w:r w:rsidR="00D32A33">
        <w:t>Mục đích và triết lý chung của chế định</w:t>
      </w:r>
      <w:bookmarkEnd w:id="1"/>
    </w:p>
    <w:p w14:paraId="4AC406B2" w14:textId="27204131" w:rsidR="00D32A33" w:rsidRDefault="00D32A33" w:rsidP="00E9653E">
      <w:r>
        <w:t>Cả Việt Nam và Trung Quốc đều thiết lập chế định giảm hình phạt cho phạm nhân nhằm khuyến khích người bị kết án cải tạo tích cực, Việt Nam gọi là giảm hình phạt đã tuyên, còn Trung Quốc gọi là</w:t>
      </w:r>
      <w:r w:rsidR="00672887">
        <w:t xml:space="preserve"> </w:t>
      </w:r>
      <w:r w:rsidR="00672887" w:rsidRPr="002D68A4">
        <w:rPr>
          <w:i/>
        </w:rPr>
        <w:t>“giảm hình phạt”</w:t>
      </w:r>
      <w:r w:rsidR="00672887">
        <w:t xml:space="preserve"> (commutation)</w:t>
      </w:r>
      <w:r w:rsidR="00672887">
        <w:rPr>
          <w:rStyle w:val="FootnoteReference"/>
        </w:rPr>
        <w:footnoteReference w:id="1"/>
      </w:r>
      <w:r>
        <w:t xml:space="preserve">. Về mục đích, Trung Quốc quy định rõ ràng mục đích </w:t>
      </w:r>
      <w:r w:rsidRPr="002D68A4">
        <w:rPr>
          <w:i/>
        </w:rPr>
        <w:t>“nhằm khuyến khích n</w:t>
      </w:r>
      <w:r w:rsidR="00672887" w:rsidRPr="002D68A4">
        <w:rPr>
          <w:i/>
        </w:rPr>
        <w:t>gười bị kết án cải tạo tiến bộ”</w:t>
      </w:r>
      <w:r w:rsidR="00672887">
        <w:rPr>
          <w:rStyle w:val="FootnoteReference"/>
        </w:rPr>
        <w:footnoteReference w:id="2"/>
      </w:r>
      <w:r>
        <w:t>, mặc dù Việt Nam không nêu cụ thể mục đích này trong điều luật, nhưng bản chất vẫn hướng đến việc tạo động lực thúc đẩy phạm nhân phấn đấu và rèn luy</w:t>
      </w:r>
      <w:r w:rsidR="00672887">
        <w:t>ện trong quá trình chấp hành án</w:t>
      </w:r>
      <w:r w:rsidR="00672887">
        <w:rPr>
          <w:rStyle w:val="FootnoteReference"/>
        </w:rPr>
        <w:footnoteReference w:id="3"/>
      </w:r>
      <w:r>
        <w:t xml:space="preserve">. Về triết lý chung, Trung Quốc yêu cầu phạm nhân </w:t>
      </w:r>
      <w:r w:rsidRPr="002D68A4">
        <w:rPr>
          <w:i/>
        </w:rPr>
        <w:t>“tuân thủ nội quy, chấp hành giáo dục cải tạo và thể hiện</w:t>
      </w:r>
      <w:r w:rsidR="00672887" w:rsidRPr="002D68A4">
        <w:rPr>
          <w:i/>
        </w:rPr>
        <w:t xml:space="preserve"> sự ăn năn hối cải chân thành”</w:t>
      </w:r>
      <w:r w:rsidR="00672887">
        <w:rPr>
          <w:rStyle w:val="FootnoteReference"/>
        </w:rPr>
        <w:footnoteReference w:id="4"/>
      </w:r>
      <w:r>
        <w:t>, trong khi Việt Nam đòi</w:t>
      </w:r>
      <w:r w:rsidR="00672887">
        <w:t xml:space="preserve"> hỏi phạm nhân có nhiều tiến bộ</w:t>
      </w:r>
      <w:r w:rsidR="00672887">
        <w:rPr>
          <w:rStyle w:val="FootnoteReference"/>
        </w:rPr>
        <w:footnoteReference w:id="5"/>
      </w:r>
      <w:r>
        <w:t>. Sự tương đồng này phản ánh quan điểm chung về việc tạo cơ hội cải tạo và tái hòa nhập xã hội cho người phạm tội.</w:t>
      </w:r>
    </w:p>
    <w:p w14:paraId="5D41C8E2" w14:textId="48A9AFCC" w:rsidR="00D32A33" w:rsidRDefault="00672887" w:rsidP="00E9653E">
      <w:pPr>
        <w:pStyle w:val="Heading2"/>
      </w:pPr>
      <w:bookmarkStart w:id="2" w:name="_Toc215749016"/>
      <w:r>
        <w:t>1.</w:t>
      </w:r>
      <w:r w:rsidR="00D32A33">
        <w:t>2.</w:t>
      </w:r>
      <w:r>
        <w:t xml:space="preserve"> </w:t>
      </w:r>
      <w:r w:rsidR="00D32A33">
        <w:t>Phạm vi đối tượng và thủ tục</w:t>
      </w:r>
      <w:bookmarkEnd w:id="2"/>
    </w:p>
    <w:p w14:paraId="3FC4675C" w14:textId="51DF3B12" w:rsidR="00D32A33" w:rsidRDefault="00D32A33" w:rsidP="00E9653E">
      <w:r>
        <w:t xml:space="preserve">Về phạm vi áp dụng, cả Việt Nam và Trung Quốc đều triển khai chế định giảm hình phạt đã tuyên đối với người phạm tội chịu hình phạt tước tự do. Theo đó Việt Nam quy định cụ thể tại khoản 1, Điều 63 Bộ luật Hình sự năm 2015 (sửa đổi, bổ sung năm 2017, </w:t>
      </w:r>
      <w:r w:rsidR="00672887">
        <w:t>2024,</w:t>
      </w:r>
      <w:r>
        <w:t xml:space="preserve"> 2025), trong khi Trung Quốc có quy định tương tự tại Điều 78 Bộ luật Hình sự Cộng hòa Nhân dân Trung Hoa năm 1979 (sửa đổi, bổ sung năm 1997, năm 2015) nhưng mở rộng thêm hình phạt cải tạo giam giữ ngắn hạn.</w:t>
      </w:r>
    </w:p>
    <w:p w14:paraId="0885D0B8" w14:textId="0A4ECD94" w:rsidR="00D32A33" w:rsidRDefault="00D32A33" w:rsidP="00E9653E">
      <w:r>
        <w:lastRenderedPageBreak/>
        <w:t>Khác với Việt Nam thì hệ thống hình phạt của Trung Quốc còn có Cải tạo giam giữ ngắn hạn, theo Điều 33, 42 – 44 của BLHS Trung Quốc - đây là hình phạt chính, thời hạn cải tạo từ trên 01 tháng đến không quá 06 tháng, do Công an địa phương thi hành và người chấp hành hình phạt được về nhà 01 – 02 ngày mỗi tháng</w:t>
      </w:r>
      <w:r w:rsidR="00672887">
        <w:t xml:space="preserve">, bên cạnh đó Trung Quốc còn có </w:t>
      </w:r>
      <w:r>
        <w:t>thêm đối tượn</w:t>
      </w:r>
      <w:r w:rsidR="00672887">
        <w:t>g đặc biệt như người khuyết tật</w:t>
      </w:r>
      <w:r w:rsidR="00672887">
        <w:rPr>
          <w:rStyle w:val="FootnoteReference"/>
        </w:rPr>
        <w:footnoteReference w:id="6"/>
      </w:r>
      <w:r>
        <w:t>, thể hiện tính nhân đạo theo hoàn cảnh. Cả hai hệ thống pháp luật đều thể hiện tính nhân đạo thông qua việc quy định mức giảm đặc biệt cho những trường hợp như người lớn tu</w:t>
      </w:r>
      <w:r w:rsidR="00672887">
        <w:t>ổi và người mắc bệnh hiểm nghèo</w:t>
      </w:r>
      <w:r w:rsidR="00672887">
        <w:rPr>
          <w:rStyle w:val="FootnoteReference"/>
        </w:rPr>
        <w:footnoteReference w:id="7"/>
      </w:r>
      <w:r>
        <w:t>. Đồng thời, cả hai đều áp dụng chế độ hạn chế giảm hình phạt đối với tái phạm hoặc những trường hợp tử hìn</w:t>
      </w:r>
      <w:r w:rsidR="00672887">
        <w:t>h được ân giảm xuống chung thân</w:t>
      </w:r>
      <w:r w:rsidR="00672887">
        <w:rPr>
          <w:rStyle w:val="FootnoteReference"/>
        </w:rPr>
        <w:footnoteReference w:id="8"/>
      </w:r>
      <w:r>
        <w:t>.</w:t>
      </w:r>
    </w:p>
    <w:p w14:paraId="10A4CFBB" w14:textId="26C05C94" w:rsidR="00D32A33" w:rsidRDefault="00D32A33" w:rsidP="00E9653E">
      <w:r>
        <w:t>Về thủ tục, cả hai hệ thống đều đặt quyền quyết định giảm hình phạt thuộc thẩm quyền của Tòa án, dựa trên đề nghị của cơ quan thi hành án. Cụ thể, Trung Quốc yêu cầu cơ quan thi hành án trình đề nghị và Tòa án thành lập hội đồng xét xử tập thể, còn Việt Nam quy định Tòa án quyết định theo đề nghị của cơ quan th</w:t>
      </w:r>
      <w:r w:rsidR="00672887">
        <w:t>i hành án hình sự có thẩm quyền</w:t>
      </w:r>
      <w:r w:rsidR="00672887">
        <w:rPr>
          <w:rStyle w:val="FootnoteReference"/>
        </w:rPr>
        <w:footnoteReference w:id="9"/>
      </w:r>
      <w:r>
        <w:t>.</w:t>
      </w:r>
    </w:p>
    <w:p w14:paraId="1DC1E4D8" w14:textId="2F60CB2A" w:rsidR="00D32A33" w:rsidRDefault="00672887" w:rsidP="00E9653E">
      <w:pPr>
        <w:pStyle w:val="Heading2"/>
      </w:pPr>
      <w:bookmarkStart w:id="3" w:name="_Toc215749017"/>
      <w:r>
        <w:t>1.</w:t>
      </w:r>
      <w:r w:rsidR="00D32A33">
        <w:t>3.</w:t>
      </w:r>
      <w:r>
        <w:t xml:space="preserve"> </w:t>
      </w:r>
      <w:r w:rsidR="00D32A33">
        <w:t>Nguyên tắc thời gian chấp hành tối thiểu và vai trò của lập công</w:t>
      </w:r>
      <w:bookmarkEnd w:id="3"/>
    </w:p>
    <w:p w14:paraId="3274F6E1" w14:textId="7787E11E" w:rsidR="00D32A33" w:rsidRDefault="00D32A33" w:rsidP="00E9653E">
      <w:r>
        <w:t xml:space="preserve">Cả hai hệ thống pháp luật đều quy định thời gian chấp hành tối thiểu sau giảm hình phạt đối với hình phạt tước tự do. Trung Quốc ấn định </w:t>
      </w:r>
      <w:r w:rsidRPr="002D68A4">
        <w:rPr>
          <w:i/>
        </w:rPr>
        <w:t>“không d</w:t>
      </w:r>
      <w:r w:rsidR="00672887" w:rsidRPr="002D68A4">
        <w:rPr>
          <w:i/>
        </w:rPr>
        <w:t>ưới một nửa thời hạn đã tuyên”</w:t>
      </w:r>
      <w:r w:rsidR="00672887">
        <w:rPr>
          <w:rStyle w:val="FootnoteReference"/>
        </w:rPr>
        <w:footnoteReference w:id="10"/>
      </w:r>
      <w:r>
        <w:t>, Việt Nam yêu cầu chấp hành một p</w:t>
      </w:r>
      <w:r w:rsidR="00672887">
        <w:t>hần hai mức hình phạt đã tuyên</w:t>
      </w:r>
      <w:r w:rsidR="00672887">
        <w:rPr>
          <w:rStyle w:val="FootnoteReference"/>
        </w:rPr>
        <w:footnoteReference w:id="11"/>
      </w:r>
      <w:r>
        <w:t xml:space="preserve">. Nguyên tắc này ngăn ngừa giảm hình phạt quá mức và bảo đảm tính răn đe. Đồng thời, cả hai đều công nhận lập công của phạm nhân là tiêu chí quan trọng để xem xét giảm hình phạt, theo đó các hành vi lập công thường bao gồm hợp tác phát hiện tội phạm, đóng góp khoa học kỹ thuật xuất sắc, cứu </w:t>
      </w:r>
      <w:r>
        <w:lastRenderedPageBreak/>
        <w:t>gi</w:t>
      </w:r>
      <w:r w:rsidR="00672887">
        <w:t>úp người khác trong thiên tai</w:t>
      </w:r>
      <w:r w:rsidR="00672887">
        <w:rPr>
          <w:rStyle w:val="FootnoteReference"/>
        </w:rPr>
        <w:footnoteReference w:id="12"/>
      </w:r>
      <w:r>
        <w:t>. Điều này thể hiện sự khuyến khích phạm nhân có hành động tích cực, có ích cho xã hội trong quá trình chấp hành án.</w:t>
      </w:r>
    </w:p>
    <w:p w14:paraId="274EE963" w14:textId="77777777" w:rsidR="00672887" w:rsidRDefault="00672887" w:rsidP="00E9653E">
      <w:r>
        <w:br w:type="page"/>
      </w:r>
    </w:p>
    <w:p w14:paraId="4C2FE95C" w14:textId="7C34056B" w:rsidR="00D32A33" w:rsidRDefault="00672887" w:rsidP="00E9653E">
      <w:pPr>
        <w:pStyle w:val="Heading1"/>
      </w:pPr>
      <w:bookmarkStart w:id="4" w:name="_Toc215749018"/>
      <w:r>
        <w:lastRenderedPageBreak/>
        <w:t>CHƯƠNG 2. ĐIỂM KHÁC NHAU</w:t>
      </w:r>
      <w:r w:rsidRPr="00672887">
        <w:t xml:space="preserve"> </w:t>
      </w:r>
      <w:r>
        <w:t>TRONG CHẾ ĐỊNH GIẢM HÌNH PHẠT ĐÃ TUYÊN GIỮA VIỆT NAM VÀ TRUNG QUỐC</w:t>
      </w:r>
      <w:bookmarkEnd w:id="4"/>
    </w:p>
    <w:p w14:paraId="65183D2B" w14:textId="72C0DA5F" w:rsidR="00D32A33" w:rsidRDefault="00672887" w:rsidP="00E9653E">
      <w:pPr>
        <w:pStyle w:val="Heading2"/>
      </w:pPr>
      <w:bookmarkStart w:id="5" w:name="_Toc215749019"/>
      <w:r>
        <w:t>2.</w:t>
      </w:r>
      <w:r w:rsidR="00D32A33">
        <w:t>1.</w:t>
      </w:r>
      <w:r>
        <w:t xml:space="preserve"> </w:t>
      </w:r>
      <w:r w:rsidR="00D32A33">
        <w:t>Cấu trúc điều kiện giảm chấp hình hình phạt và vai trò của lập công lớn</w:t>
      </w:r>
      <w:bookmarkEnd w:id="5"/>
    </w:p>
    <w:p w14:paraId="4852A65D" w14:textId="2F806C7D" w:rsidR="00D32A33" w:rsidRDefault="00D32A33" w:rsidP="00E9653E">
      <w:r>
        <w:t>Việt Nam đặt hai điều kiện cốt lõi</w:t>
      </w:r>
      <w:r w:rsidR="00672887">
        <w:rPr>
          <w:rStyle w:val="FootnoteReference"/>
        </w:rPr>
        <w:footnoteReference w:id="13"/>
      </w:r>
      <w:r>
        <w:t xml:space="preserve">: đã chấp hành thời gian và có nhiều tiến bộ trong cải tạo, kèm bồi thường một phần nghĩa vụ dân sự. </w:t>
      </w:r>
      <w:r w:rsidRPr="002D68A4">
        <w:rPr>
          <w:i/>
        </w:rPr>
        <w:t>“Nhiề</w:t>
      </w:r>
      <w:r w:rsidR="00672887" w:rsidRPr="002D68A4">
        <w:rPr>
          <w:i/>
        </w:rPr>
        <w:t>u tiến bộ”</w:t>
      </w:r>
      <w:r w:rsidR="00672887">
        <w:t xml:space="preserve"> là chấp hành tốt nội </w:t>
      </w:r>
      <w:r>
        <w:t>quy, học tập, lao động và xếp loại khá trở lên</w:t>
      </w:r>
      <w:r w:rsidR="00672887">
        <w:rPr>
          <w:rStyle w:val="FootnoteReference"/>
        </w:rPr>
        <w:footnoteReference w:id="14"/>
      </w:r>
      <w:r w:rsidR="00672887">
        <w:t>; bồi thường tối thiểu một nửa</w:t>
      </w:r>
      <w:r w:rsidR="00672887">
        <w:rPr>
          <w:rStyle w:val="FootnoteReference"/>
        </w:rPr>
        <w:footnoteReference w:id="15"/>
      </w:r>
      <w:r>
        <w:t>, thể hiện chú trọng bảo vệ quyền lợi bị hại. Các tiêu chí</w:t>
      </w:r>
      <w:r w:rsidR="00672887">
        <w:t xml:space="preserve"> xếp loại được quy định cụ thể</w:t>
      </w:r>
      <w:r w:rsidR="00672887">
        <w:rPr>
          <w:rStyle w:val="FootnoteReference"/>
        </w:rPr>
        <w:footnoteReference w:id="16"/>
      </w:r>
      <w:r>
        <w:t>, tuy nhiên chưa có cơ chế giám sát việc thực thi dễ dẫn tới đánh giá chủ quan. Còn Tr</w:t>
      </w:r>
      <w:r w:rsidR="00672887">
        <w:t>ung Quốc đặt ra bốn điều kiện</w:t>
      </w:r>
      <w:r w:rsidR="00672887">
        <w:rPr>
          <w:rStyle w:val="FootnoteReference"/>
        </w:rPr>
        <w:footnoteReference w:id="17"/>
      </w:r>
      <w:r>
        <w:t xml:space="preserve">: tuân thủ nội quy, chấp hành giáo dục cải tạo, thể hiện ăn năn hối cải chân thành và đáp ứng nghĩa vụ bồi thường. Tiêu chí </w:t>
      </w:r>
      <w:r w:rsidRPr="002D68A4">
        <w:rPr>
          <w:i/>
        </w:rPr>
        <w:t>“ăn năn hối cải chân thành”</w:t>
      </w:r>
      <w:r>
        <w:t xml:space="preserve"> áp dụng nghiêm ngặt, một số tội nghiêm trọng hoặc có chức vụ bị loại trừ </w:t>
      </w:r>
      <w:r w:rsidR="00672887">
        <w:t>khỏi tiêu chí này</w:t>
      </w:r>
      <w:r w:rsidR="00672887">
        <w:rPr>
          <w:rStyle w:val="FootnoteReference"/>
        </w:rPr>
        <w:footnoteReference w:id="18"/>
      </w:r>
      <w:r>
        <w:t>, ngoài ra bồi thường dân sự cũng đư</w:t>
      </w:r>
      <w:r w:rsidR="00672887">
        <w:t>ợc tích hợp trong tiêu chí này</w:t>
      </w:r>
      <w:r w:rsidR="00672887">
        <w:rPr>
          <w:rStyle w:val="FootnoteReference"/>
        </w:rPr>
        <w:footnoteReference w:id="19"/>
      </w:r>
      <w:r>
        <w:t>.</w:t>
      </w:r>
    </w:p>
    <w:p w14:paraId="25C521D1" w14:textId="456A26A6" w:rsidR="00D32A33" w:rsidRDefault="00D32A33" w:rsidP="00E9653E">
      <w:r>
        <w:t>Trung Quố</w:t>
      </w:r>
      <w:r w:rsidR="00672887">
        <w:t xml:space="preserve">c phân biệt rõ ràng </w:t>
      </w:r>
      <w:r w:rsidR="00672887" w:rsidRPr="002D68A4">
        <w:rPr>
          <w:i/>
        </w:rPr>
        <w:t>“lập công”</w:t>
      </w:r>
      <w:r w:rsidR="00672887">
        <w:rPr>
          <w:rStyle w:val="FootnoteReference"/>
        </w:rPr>
        <w:footnoteReference w:id="20"/>
      </w:r>
      <w:r w:rsidR="00672887">
        <w:t xml:space="preserve"> và </w:t>
      </w:r>
      <w:r w:rsidR="00672887" w:rsidRPr="002D68A4">
        <w:rPr>
          <w:i/>
        </w:rPr>
        <w:t>“lập công lớn”</w:t>
      </w:r>
      <w:r w:rsidR="00672887">
        <w:rPr>
          <w:rStyle w:val="FootnoteReference"/>
        </w:rPr>
        <w:footnoteReference w:id="21"/>
      </w:r>
      <w:r>
        <w:t>. Phân chia rõ ràng</w:t>
      </w:r>
      <w:r w:rsidR="00672887">
        <w:t xml:space="preserve">: </w:t>
      </w:r>
      <w:r w:rsidR="00672887" w:rsidRPr="002D68A4">
        <w:rPr>
          <w:i/>
        </w:rPr>
        <w:t>“có thể được giảm hình phạt”</w:t>
      </w:r>
      <w:r w:rsidR="00672887">
        <w:rPr>
          <w:rStyle w:val="FootnoteReference"/>
        </w:rPr>
        <w:footnoteReference w:id="22"/>
      </w:r>
      <w:r>
        <w:t xml:space="preserve"> cho trường hợp bình thường đáp ứng một trong bốn điều kiện chín</w:t>
      </w:r>
      <w:r w:rsidR="00672887">
        <w:t xml:space="preserve">h, và </w:t>
      </w:r>
      <w:r w:rsidR="00672887" w:rsidRPr="002D68A4">
        <w:rPr>
          <w:i/>
        </w:rPr>
        <w:t>“sẽ được giảm hình phạt”</w:t>
      </w:r>
      <w:r w:rsidR="00672887">
        <w:rPr>
          <w:rStyle w:val="FootnoteReference"/>
        </w:rPr>
        <w:footnoteReference w:id="23"/>
      </w:r>
      <w:r>
        <w:t xml:space="preserve"> cho các trường hợp </w:t>
      </w:r>
      <w:r w:rsidRPr="002D68A4">
        <w:rPr>
          <w:i/>
        </w:rPr>
        <w:t>“lập công lớn”</w:t>
      </w:r>
      <w:r>
        <w:t xml:space="preserve"> thuộc bảy nhóm cụ thể quy định tại Điều 79 theo Quy định của SPC. Còn theo quy định của Việt Nam không áp dụng yếu tố </w:t>
      </w:r>
      <w:r w:rsidRPr="002D68A4">
        <w:rPr>
          <w:i/>
        </w:rPr>
        <w:t>“lập công lớn”</w:t>
      </w:r>
      <w:r>
        <w:t xml:space="preserve"> cho </w:t>
      </w:r>
      <w:r>
        <w:lastRenderedPageBreak/>
        <w:t>giảm hình phạt mà chỉ dành cho miễn chấp hà</w:t>
      </w:r>
      <w:r w:rsidR="00672887">
        <w:t>nh hình phạt</w:t>
      </w:r>
      <w:r w:rsidR="00672887">
        <w:rPr>
          <w:rStyle w:val="FootnoteReference"/>
        </w:rPr>
        <w:footnoteReference w:id="24"/>
      </w:r>
      <w:r>
        <w:t xml:space="preserve">, tạo sự phân tách giữa hai chế định. Điều này thiếu cơ chế </w:t>
      </w:r>
      <w:r w:rsidRPr="002D68A4">
        <w:rPr>
          <w:i/>
        </w:rPr>
        <w:t>“bắt buộc giảm hình phạt”</w:t>
      </w:r>
      <w:r>
        <w:t xml:space="preserve"> khi đạt thành tích xuất sắc, tuy trao quyền tùy nghi cao cho Tòa án nhưng khuyến khích thấp đối với hành vi lập công lớn.</w:t>
      </w:r>
    </w:p>
    <w:p w14:paraId="16AF1536" w14:textId="2AD8F599" w:rsidR="00D32A33" w:rsidRDefault="00672887" w:rsidP="00E9653E">
      <w:pPr>
        <w:pStyle w:val="Heading2"/>
      </w:pPr>
      <w:bookmarkStart w:id="6" w:name="_Toc215749020"/>
      <w:r>
        <w:t>2.</w:t>
      </w:r>
      <w:r w:rsidR="00D32A33">
        <w:t>2.</w:t>
      </w:r>
      <w:r>
        <w:t xml:space="preserve"> </w:t>
      </w:r>
      <w:r w:rsidR="00D32A33">
        <w:t>Tính chất quyết định và phạm vi đối tượng bị hạn chế</w:t>
      </w:r>
      <w:bookmarkEnd w:id="6"/>
    </w:p>
    <w:p w14:paraId="6B6EB9E7" w14:textId="06F8B397" w:rsidR="00D32A33" w:rsidRDefault="00D32A33" w:rsidP="00E9653E">
      <w:r>
        <w:t xml:space="preserve">Việt Nam và Trung Quốc có cách tiếp cận khác biệt về nghĩa vụ đề nghị giảm hình phạt. Việt Nam quy định cơ quan </w:t>
      </w:r>
      <w:r w:rsidR="00672887">
        <w:t xml:space="preserve">thi hành án </w:t>
      </w:r>
      <w:r w:rsidR="00672887" w:rsidRPr="002D68A4">
        <w:rPr>
          <w:i/>
        </w:rPr>
        <w:t>“có quyền đề nghị”</w:t>
      </w:r>
      <w:r w:rsidR="00672887">
        <w:rPr>
          <w:rStyle w:val="FootnoteReference"/>
        </w:rPr>
        <w:footnoteReference w:id="25"/>
      </w:r>
      <w:r w:rsidR="00672887">
        <w:t xml:space="preserve">, thể hiện tính tùy nghi </w:t>
      </w:r>
      <w:r>
        <w:t xml:space="preserve">cao và mang nặng tính thủ tục - hành chính. Trung Quốc quy định </w:t>
      </w:r>
      <w:r w:rsidRPr="002D68A4">
        <w:rPr>
          <w:i/>
        </w:rPr>
        <w:t>“cơ quan thi</w:t>
      </w:r>
      <w:r w:rsidR="00672887" w:rsidRPr="002D68A4">
        <w:rPr>
          <w:i/>
        </w:rPr>
        <w:t xml:space="preserve"> hành án phải trình kiến nghị”</w:t>
      </w:r>
      <w:r w:rsidR="00672887">
        <w:rPr>
          <w:rStyle w:val="FootnoteReference"/>
        </w:rPr>
        <w:footnoteReference w:id="26"/>
      </w:r>
      <w:r>
        <w:t>, biến việc này thành nghĩa vụ bắt buộc.</w:t>
      </w:r>
    </w:p>
    <w:p w14:paraId="11DECEA1" w14:textId="2FA37F60" w:rsidR="00D32A33" w:rsidRDefault="00D32A33" w:rsidP="00E9653E">
      <w:r>
        <w:t xml:space="preserve">Việt Nam không có danh mục hạn chế GHPTĐT có thể dẫn đến rủi ro khi xử lý tội phạm nguy hiểm cao. Còn Trung Quốc áp dụng hệ thống hạn chế phức tạp: án treo dưới ba năm </w:t>
      </w:r>
      <w:r w:rsidRPr="002D68A4">
        <w:rPr>
          <w:i/>
        </w:rPr>
        <w:t>“thông thường khô</w:t>
      </w:r>
      <w:r w:rsidR="00672887" w:rsidRPr="002D68A4">
        <w:rPr>
          <w:i/>
        </w:rPr>
        <w:t>ng được giảm”</w:t>
      </w:r>
      <w:r w:rsidR="00672887">
        <w:t xml:space="preserve"> trừ lập công lớn</w:t>
      </w:r>
      <w:r w:rsidR="00672887">
        <w:rPr>
          <w:rStyle w:val="FootnoteReference"/>
        </w:rPr>
        <w:footnoteReference w:id="27"/>
      </w:r>
      <w:r>
        <w:t>; tội phạm chức vụ, tài chính, tổ chức mafia không được coi là ăn nă</w:t>
      </w:r>
      <w:r w:rsidR="00672887">
        <w:t>n hối cải trừ khi lập công lớn</w:t>
      </w:r>
      <w:r w:rsidR="00672887">
        <w:rPr>
          <w:rStyle w:val="FootnoteReference"/>
        </w:rPr>
        <w:footnoteReference w:id="28"/>
      </w:r>
      <w:r>
        <w:t xml:space="preserve">; đối với </w:t>
      </w:r>
      <w:r w:rsidRPr="002D68A4">
        <w:rPr>
          <w:i/>
        </w:rPr>
        <w:t>“chung thân không ân giảm”</w:t>
      </w:r>
      <w:r>
        <w:t xml:space="preserve"> chắc chắn không được gi</w:t>
      </w:r>
      <w:r w:rsidR="00672887">
        <w:t>ảm và phải ghi rõ trong bản án</w:t>
      </w:r>
      <w:r w:rsidR="00672887">
        <w:rPr>
          <w:rStyle w:val="FootnoteReference"/>
        </w:rPr>
        <w:footnoteReference w:id="29"/>
      </w:r>
      <w:r>
        <w:t>.</w:t>
      </w:r>
    </w:p>
    <w:p w14:paraId="2BA9A5C5" w14:textId="4065F27D" w:rsidR="00D32A33" w:rsidRDefault="00672887" w:rsidP="00E9653E">
      <w:pPr>
        <w:pStyle w:val="Heading2"/>
      </w:pPr>
      <w:bookmarkStart w:id="7" w:name="_Toc215749021"/>
      <w:r>
        <w:t>2.</w:t>
      </w:r>
      <w:r w:rsidR="00D32A33">
        <w:t>3.</w:t>
      </w:r>
      <w:r>
        <w:t xml:space="preserve"> </w:t>
      </w:r>
      <w:r w:rsidR="00D32A33">
        <w:t>Ngưỡng thời gian và mức giảm cụ thể</w:t>
      </w:r>
      <w:bookmarkEnd w:id="7"/>
    </w:p>
    <w:p w14:paraId="264941A5" w14:textId="6205AF7A" w:rsidR="00D32A33" w:rsidRDefault="00D32A33" w:rsidP="00E9653E">
      <w:r>
        <w:t>Việt Nam áp dụng phương pháp tỷ lệ linh hoạt với mốc 1/3 thời hạn đối với cải tạo không giam giữ và tù có thời hạn, 12 năm cho chung thân hoặc 15 nếu phạm nhi</w:t>
      </w:r>
      <w:r w:rsidR="00672887">
        <w:t>ều tội có hình phạt chung thân</w:t>
      </w:r>
      <w:r w:rsidR="00672887">
        <w:rPr>
          <w:rStyle w:val="FootnoteReference"/>
        </w:rPr>
        <w:footnoteReference w:id="30"/>
      </w:r>
      <w:r>
        <w:t>. Trung Quốc áp dụng hệ thống mốc cứ</w:t>
      </w:r>
      <w:r w:rsidR="00672887">
        <w:t>ng tuyệt đối: từ 01 đến 02 năm</w:t>
      </w:r>
      <w:r w:rsidR="00672887">
        <w:rPr>
          <w:rStyle w:val="FootnoteReference"/>
        </w:rPr>
        <w:footnoteReference w:id="31"/>
      </w:r>
      <w:r>
        <w:t>, và chung thân</w:t>
      </w:r>
      <w:r w:rsidR="00672887">
        <w:t xml:space="preserve"> phải chấp hành ít nhất 02 năm</w:t>
      </w:r>
      <w:r w:rsidR="00672887">
        <w:rPr>
          <w:rStyle w:val="FootnoteReference"/>
        </w:rPr>
        <w:footnoteReference w:id="32"/>
      </w:r>
      <w:r>
        <w:t xml:space="preserve"> </w:t>
      </w:r>
      <w:r>
        <w:lastRenderedPageBreak/>
        <w:t>và mốc cao hơn c</w:t>
      </w:r>
      <w:r w:rsidR="00672887">
        <w:t>ho các loại tội phạm nguy hiểm</w:t>
      </w:r>
      <w:r w:rsidR="00672887">
        <w:rPr>
          <w:rStyle w:val="FootnoteReference"/>
        </w:rPr>
        <w:footnoteReference w:id="33"/>
      </w:r>
      <w:r>
        <w:t>. Quan trọng hơn, Trung Quốc quy định rõ thời điểm bắt đầ</w:t>
      </w:r>
      <w:r w:rsidR="00672887">
        <w:t>u tính từ ngày bản án thi hành</w:t>
      </w:r>
      <w:r w:rsidR="00672887">
        <w:rPr>
          <w:rStyle w:val="FootnoteReference"/>
        </w:rPr>
        <w:footnoteReference w:id="34"/>
      </w:r>
      <w:r>
        <w:t xml:space="preserve">, trong khi Việt Nam thiếu quy định này và còn nhiều quan điểm khác nhau về thời hạn tính chấp hành, chỉ dùng thuật ngữ </w:t>
      </w:r>
      <w:r w:rsidRPr="002D68A4">
        <w:rPr>
          <w:i/>
        </w:rPr>
        <w:t>“đã chấp</w:t>
      </w:r>
      <w:r w:rsidR="00672887" w:rsidRPr="002D68A4">
        <w:rPr>
          <w:i/>
        </w:rPr>
        <w:t xml:space="preserve"> hành được”</w:t>
      </w:r>
      <w:r w:rsidR="00672887">
        <w:rPr>
          <w:rStyle w:val="FootnoteReference"/>
        </w:rPr>
        <w:footnoteReference w:id="35"/>
      </w:r>
      <w:r>
        <w:t xml:space="preserve"> nên việc xét giảm phụ thuộc nhiều yếu tố, còn Trung Quốc minh bạch hơn với quy định thời gian tối thiểu cụ thể kèm thời điểm bắt đầu tính.</w:t>
      </w:r>
    </w:p>
    <w:p w14:paraId="7F0296D3" w14:textId="1195E941" w:rsidR="00D32A33" w:rsidRDefault="00D32A33" w:rsidP="00E9653E">
      <w:r>
        <w:t>Việt Nam quy định mức giảm linh hoạt từ 03 đến 09 tháng cho cải tạo không giam giữ, 01 tháng đến 03 năm cho tù có thời hạn hoặc với mức 03 năm chỉ áp dụng khi c</w:t>
      </w:r>
      <w:r w:rsidR="00672887">
        <w:t>ó thành tích đặc biệt xuất sắc</w:t>
      </w:r>
      <w:r w:rsidR="00672887">
        <w:rPr>
          <w:rStyle w:val="FootnoteReference"/>
        </w:rPr>
        <w:footnoteReference w:id="36"/>
      </w:r>
      <w:r>
        <w:t>. Trung Quốc lượng hóa chi tiết mức giảm dựa trê</w:t>
      </w:r>
      <w:r w:rsidR="00672887">
        <w:t>n bốn tổ hợp tiêu chí tăng dần</w:t>
      </w:r>
      <w:r w:rsidR="00672887">
        <w:rPr>
          <w:rStyle w:val="FootnoteReference"/>
        </w:rPr>
        <w:footnoteReference w:id="37"/>
      </w:r>
      <w:r>
        <w:t xml:space="preserve">, tiếp cận mức giảm có tính phân hóa cao, </w:t>
      </w:r>
      <w:r w:rsidR="00672887">
        <w:t xml:space="preserve">khắc phục điểm yếu của Việt Nam </w:t>
      </w:r>
      <w:r>
        <w:t xml:space="preserve">chỉ quy định từng mốc giảm mang tính </w:t>
      </w:r>
      <w:r w:rsidRPr="002D68A4">
        <w:rPr>
          <w:i/>
        </w:rPr>
        <w:t>“cào bằng”</w:t>
      </w:r>
      <w:r>
        <w:t>, mà việc giảm mức tối đa hay tối thiểu thuộc quyết định tùy nghi c</w:t>
      </w:r>
      <w:r w:rsidR="00672887">
        <w:t>ủa Hội đồng xét giảm hình phạt</w:t>
      </w:r>
      <w:r w:rsidR="00672887">
        <w:rPr>
          <w:rStyle w:val="FootnoteReference"/>
        </w:rPr>
        <w:footnoteReference w:id="38"/>
      </w:r>
      <w:r w:rsidR="00672887">
        <w:t>.</w:t>
      </w:r>
    </w:p>
    <w:p w14:paraId="57463A45" w14:textId="77777777" w:rsidR="00E9653E" w:rsidRDefault="00E9653E" w:rsidP="00E9653E">
      <w:r>
        <w:br w:type="page"/>
      </w:r>
    </w:p>
    <w:p w14:paraId="21612BB1" w14:textId="6BF3D91E" w:rsidR="00D32A33" w:rsidRDefault="00E9653E" w:rsidP="00E9653E">
      <w:pPr>
        <w:pStyle w:val="Heading1"/>
      </w:pPr>
      <w:bookmarkStart w:id="8" w:name="_Toc215749022"/>
      <w:r>
        <w:lastRenderedPageBreak/>
        <w:t>CHƯƠNG 3. BÀI HỌC KINH NGHIỆM VÀ KIẾN NGHỊ HOÀN THIỆN CHO PHÁP LUẬT VIỆT NAM</w:t>
      </w:r>
      <w:bookmarkEnd w:id="8"/>
    </w:p>
    <w:p w14:paraId="27D5F5B3" w14:textId="77777777" w:rsidR="00D32A33" w:rsidRDefault="00D32A33" w:rsidP="00E9653E">
      <w:r w:rsidRPr="002D68A4">
        <w:rPr>
          <w:i/>
        </w:rPr>
        <w:t xml:space="preserve">Thứ nhất, </w:t>
      </w:r>
      <w:r>
        <w:t xml:space="preserve">hiến định rõ mục đích và nguyên tắc của GHPĐT trong BLHS. Nêu rõ mục tiêu kép </w:t>
      </w:r>
      <w:r w:rsidRPr="002D68A4">
        <w:rPr>
          <w:i/>
        </w:rPr>
        <w:t>“khuyến khích cải tạo – bảo vệ trật tự, an toàn xã hội”</w:t>
      </w:r>
      <w:r>
        <w:t>, kèm các nguyên tắc: cá thể hóa, dựa trên bằng chứng, ưu tiên khắc phục hậu quả, minh bạch, có thể kiểm chứng.</w:t>
      </w:r>
      <w:bookmarkStart w:id="9" w:name="_GoBack"/>
      <w:bookmarkEnd w:id="9"/>
    </w:p>
    <w:p w14:paraId="563FAA0B" w14:textId="77777777" w:rsidR="00D32A33" w:rsidRDefault="00D32A33" w:rsidP="00E9653E">
      <w:r w:rsidRPr="002D68A4">
        <w:rPr>
          <w:i/>
        </w:rPr>
        <w:t xml:space="preserve">Thứ hai, </w:t>
      </w:r>
      <w:r>
        <w:t xml:space="preserve">lượng hóa tiêu chí </w:t>
      </w:r>
      <w:r w:rsidRPr="002D68A4">
        <w:rPr>
          <w:i/>
        </w:rPr>
        <w:t>“có nhiều tiến bộ”</w:t>
      </w:r>
      <w:r>
        <w:t xml:space="preserve"> bằng thang điểm quốc gia áp dụng thống nhất cho trại giam. Với ba yêu cầu chính: (i) kỷ luật – nội quy; (ii) học tập, lao động, bồi thường; (iii) nguy cơ tái phạm. Ngoài ra, cần tăng cường cơ chế giám sát việc thực thi các tiêu chí xếp hạng này của VKSND.</w:t>
      </w:r>
    </w:p>
    <w:p w14:paraId="636B55EA" w14:textId="77777777" w:rsidR="00D32A33" w:rsidRDefault="00D32A33" w:rsidP="00E9653E">
      <w:r w:rsidRPr="002D68A4">
        <w:rPr>
          <w:i/>
        </w:rPr>
        <w:t xml:space="preserve">Thứ ba, </w:t>
      </w:r>
      <w:r>
        <w:t>siết chặt mối liên hệ giữa GHPĐT và khắc phục hậu quả. Đặt ngưỡng bồi thường/khôi phục theo tỷ lệ từng loại tội, kèm cơ chế ký quỹ hoặc kế hoạch thanh toán bảo đảm thi hành. Chưa khắc phục đủ chỉ xét giảm hạn chế và kèm điều kiện giám sát.</w:t>
      </w:r>
    </w:p>
    <w:p w14:paraId="27CBDDC2" w14:textId="77777777" w:rsidR="00D32A33" w:rsidRDefault="00D32A33" w:rsidP="00E9653E">
      <w:r w:rsidRPr="002D68A4">
        <w:rPr>
          <w:i/>
        </w:rPr>
        <w:t xml:space="preserve">Thứ tư, </w:t>
      </w:r>
      <w:r>
        <w:t>chuẩn hóa thời điểm, khoảng cách và mức trần tổng mức giảm. Ấn định thời gian tối thiểu trước lần xét đầu; khoảng cách tối thiểu giữa các lần sau; mức trần phần trăm giảm và phân chia thành tội rất nghiêm trọng, đặc biệt nghiêm trọng và án chung thân để tăng tính tiên liệu, công bằng.</w:t>
      </w:r>
    </w:p>
    <w:p w14:paraId="53071698" w14:textId="77777777" w:rsidR="00D32A33" w:rsidRDefault="00D32A33" w:rsidP="00E9653E">
      <w:r w:rsidRPr="002D68A4">
        <w:rPr>
          <w:i/>
        </w:rPr>
        <w:t xml:space="preserve">Thứ năm, </w:t>
      </w:r>
      <w:r>
        <w:t>thiết kế danh mục kiểm soát rủi ro cho nhóm tội tham nhũng, có tổ chức, lừa đảo công nghệ cao, rửa tiền… với điều kiện nghiêm ngặt hơn: thu hồi tài sản triệt để, hợp tác thực chất, chứng cứ thay đổi hành vi. Đồng thời, loại trừ trường hợp vận động GHPĐT bằng ảnh hưởng, quan hệ hay thủ đoạn không chính đáng.</w:t>
      </w:r>
    </w:p>
    <w:p w14:paraId="5D8D2756" w14:textId="77777777" w:rsidR="00E9653E" w:rsidRDefault="00E9653E" w:rsidP="00E9653E">
      <w:r>
        <w:br w:type="page"/>
      </w:r>
    </w:p>
    <w:p w14:paraId="3A95A911" w14:textId="1774B73A" w:rsidR="00D32A33" w:rsidRDefault="00E9653E" w:rsidP="00E9653E">
      <w:pPr>
        <w:pStyle w:val="Heading1"/>
      </w:pPr>
      <w:bookmarkStart w:id="10" w:name="_Toc215749023"/>
      <w:r>
        <w:lastRenderedPageBreak/>
        <w:t>DANH MỤC TÀI LIỆU THAM KHẢO</w:t>
      </w:r>
      <w:bookmarkEnd w:id="10"/>
    </w:p>
    <w:p w14:paraId="1A83CB18" w14:textId="73A5E58A" w:rsidR="00D32A33" w:rsidRPr="00E9653E" w:rsidRDefault="00D32A33" w:rsidP="00E9653E">
      <w:pPr>
        <w:rPr>
          <w:b/>
        </w:rPr>
      </w:pPr>
      <w:r w:rsidRPr="00E9653E">
        <w:rPr>
          <w:b/>
        </w:rPr>
        <w:t>Danh mục văn bản pháp luật</w:t>
      </w:r>
    </w:p>
    <w:p w14:paraId="4D1309FF" w14:textId="52002FA7" w:rsidR="00D32A33" w:rsidRDefault="00D32A33" w:rsidP="00E9653E">
      <w:r>
        <w:t>a)</w:t>
      </w:r>
      <w:r w:rsidR="00672887">
        <w:t xml:space="preserve"> </w:t>
      </w:r>
      <w:r>
        <w:t>Văn bản pháp luật Việt Nam</w:t>
      </w:r>
    </w:p>
    <w:p w14:paraId="6E7350E7" w14:textId="2EA120E4" w:rsidR="00D32A33" w:rsidRDefault="00D32A33" w:rsidP="00E9653E">
      <w:r>
        <w:t>-</w:t>
      </w:r>
      <w:r w:rsidR="00672887">
        <w:t xml:space="preserve"> </w:t>
      </w:r>
      <w:r>
        <w:t>Bộ luật Hình sự Việt Nam (sửa đổi, bổ sung năm 2017, năm 2025).</w:t>
      </w:r>
    </w:p>
    <w:p w14:paraId="58F3A2E1" w14:textId="625A7AD1" w:rsidR="00D32A33" w:rsidRDefault="00D32A33" w:rsidP="00E9653E">
      <w:r>
        <w:t>-</w:t>
      </w:r>
      <w:r w:rsidR="00672887">
        <w:t xml:space="preserve"> </w:t>
      </w:r>
      <w:r>
        <w:t>Nghị quyết 03/2024/NQ-HĐTP ngày 10 tháng 6 năm 2024 của Hội đồng Thẩm phán Tòa án nhân dân Tối cao Việt Nam về 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p w14:paraId="7B96FA7B" w14:textId="14908534" w:rsidR="00D32A33" w:rsidRDefault="00D32A33" w:rsidP="00E9653E">
      <w:r>
        <w:t>-</w:t>
      </w:r>
      <w:r w:rsidR="00672887">
        <w:t xml:space="preserve"> </w:t>
      </w:r>
      <w:r>
        <w:t>Quy định của Tòa án Nhân dân Tối cao về việc áp dụng cụ thể pháp luật trong xử lý các vụ án giảm hình phạt và tha tù trước thời hạn của Cộng hòa Nhân dân Trung Hoa - (Supreme People's Court Provisions on the Specific Application of Law in Handling Cases of Commutations and Parole - gọi tắt là Quy định của SPC), [https://www.chinalawtranslate.com/en/supreme-peoples-court-provisions-on-t</w:t>
      </w:r>
      <w:r w:rsidR="00E9653E">
        <w:t>he-</w:t>
      </w:r>
      <w:r>
        <w:t>specific-application-of-law-in-handling-cases-of-sentence-reductions-and-parole/] (truy cập ngày 14/9/2025)</w:t>
      </w:r>
    </w:p>
    <w:p w14:paraId="6A1445AE" w14:textId="4A7FD3AC" w:rsidR="00D32A33" w:rsidRDefault="00D32A33" w:rsidP="00E9653E">
      <w:r>
        <w:t>b)</w:t>
      </w:r>
      <w:r w:rsidR="00672887">
        <w:t xml:space="preserve"> </w:t>
      </w:r>
      <w:r>
        <w:t>Văn bản pháp luật nước ngoài</w:t>
      </w:r>
    </w:p>
    <w:p w14:paraId="26C20DF0" w14:textId="7EF681F5" w:rsidR="00D32A33" w:rsidRDefault="00D32A33" w:rsidP="00E9653E">
      <w:r>
        <w:t>-</w:t>
      </w:r>
      <w:r w:rsidR="00672887">
        <w:t xml:space="preserve"> </w:t>
      </w:r>
      <w:r>
        <w:t>Bộ luật Hình sự Cộng hòa Nhân dân Trung Hoa năm 1979 (sửa đổi, bổ sung năm 1997, năm 2015), [https://en.spp.gov.cn/2020-12/26/c_948417_3.htm] (truy cập ngày 14/9/2025)</w:t>
      </w:r>
    </w:p>
    <w:p w14:paraId="7D9D6EF9" w14:textId="48E2C954" w:rsidR="00D32A33" w:rsidRDefault="00D32A33" w:rsidP="00E9653E">
      <w:r>
        <w:t>-</w:t>
      </w:r>
      <w:r w:rsidR="00672887">
        <w:t xml:space="preserve"> </w:t>
      </w:r>
      <w:r>
        <w:t>Quy định của Tòa án Nhân dân Tối cao về việc áp dụng cụ thể pháp luật trong xử lý các vụ án giảm hình phạt và tha tù trước thời hạn của Cộng hòa Nhân dân Trung Hoa</w:t>
      </w:r>
    </w:p>
    <w:p w14:paraId="1BB74EE7" w14:textId="0752C94D" w:rsidR="00D32A33" w:rsidRPr="00E9653E" w:rsidRDefault="00D32A33" w:rsidP="00E9653E">
      <w:pPr>
        <w:rPr>
          <w:b/>
        </w:rPr>
      </w:pPr>
      <w:r w:rsidRPr="00E9653E">
        <w:rPr>
          <w:b/>
        </w:rPr>
        <w:t>Danh mục tài liệu tham khảo</w:t>
      </w:r>
    </w:p>
    <w:p w14:paraId="625AC4EA" w14:textId="2B463920" w:rsidR="00D32A33" w:rsidRDefault="00D32A33" w:rsidP="00E9653E">
      <w:r>
        <w:t>-</w:t>
      </w:r>
      <w:r w:rsidR="00672887">
        <w:t xml:space="preserve"> </w:t>
      </w:r>
      <w:r>
        <w:t>Trường Đại học Luật Thành phố Hồ Chí Minh (2023), Giáo trình Luật Hình sự Việt Nam phần chung, NXB Công an Nhân dân, Thành phố Hồ Chí Minh</w:t>
      </w:r>
    </w:p>
    <w:p w14:paraId="71B30720" w14:textId="66E7484A" w:rsidR="000D23C3" w:rsidRDefault="00D32A33" w:rsidP="00E9653E">
      <w:r>
        <w:t>-</w:t>
      </w:r>
      <w:r w:rsidR="00672887">
        <w:t xml:space="preserve"> </w:t>
      </w:r>
      <w:r>
        <w:t xml:space="preserve">Trịnh Thị Nhật Huyền, </w:t>
      </w:r>
      <w:r w:rsidRPr="002D68A4">
        <w:rPr>
          <w:i/>
        </w:rPr>
        <w:t>“Bàn về cách tính thời hạn chấp hành hình phạt tù”</w:t>
      </w:r>
      <w:r>
        <w:t>, [https://vienkiemsathaiphong.gov.vn/kiem-sat-vien-viet/ban-ve-cach-tinh-thoi-han-chap- hanh-hinh-phat-tu-20778] (truy cập ngày 14/9/2025)</w:t>
      </w:r>
      <w:r w:rsidR="007474B8">
        <w:t>.</w:t>
      </w:r>
    </w:p>
    <w:sectPr w:rsidR="000D23C3">
      <w:pgSz w:w="11900" w:h="16840"/>
      <w:pgMar w:top="1134" w:right="1134" w:bottom="1134" w:left="1701" w:header="850" w:footer="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6837F" w14:textId="77777777" w:rsidR="007B3520" w:rsidRDefault="007B3520">
      <w:pPr>
        <w:spacing w:line="240" w:lineRule="auto"/>
      </w:pPr>
      <w:r>
        <w:separator/>
      </w:r>
    </w:p>
  </w:endnote>
  <w:endnote w:type="continuationSeparator" w:id="0">
    <w:p w14:paraId="7CB88758" w14:textId="77777777" w:rsidR="007B3520" w:rsidRDefault="007B3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781FA" w14:textId="77777777" w:rsidR="007B3520" w:rsidRDefault="007B3520">
      <w:pPr>
        <w:spacing w:line="240" w:lineRule="auto"/>
      </w:pPr>
      <w:r>
        <w:separator/>
      </w:r>
    </w:p>
  </w:footnote>
  <w:footnote w:type="continuationSeparator" w:id="0">
    <w:p w14:paraId="08188244" w14:textId="77777777" w:rsidR="007B3520" w:rsidRDefault="007B3520">
      <w:pPr>
        <w:spacing w:line="240" w:lineRule="auto"/>
      </w:pPr>
      <w:r>
        <w:continuationSeparator/>
      </w:r>
    </w:p>
  </w:footnote>
  <w:footnote w:id="1">
    <w:p w14:paraId="32EAF052" w14:textId="1D8CA170" w:rsidR="00672887" w:rsidRDefault="00672887" w:rsidP="00672887">
      <w:pPr>
        <w:pStyle w:val="FootnoteText"/>
        <w:jc w:val="both"/>
      </w:pPr>
      <w:r>
        <w:rPr>
          <w:rStyle w:val="FootnoteReference"/>
        </w:rPr>
        <w:footnoteRef/>
      </w:r>
      <w:r>
        <w:t xml:space="preserve"> Chương 6 Bộ luật Hình sự Cộng hòa Nhân dân Trung Hoa năm 1979 (sửa đổi, bổ sung năm 1997, năm 2015), [https://en.spp.gov.cn/2020-12/26/c_948417_3.htm] (truy cập ngày 14/9/2025)</w:t>
      </w:r>
    </w:p>
  </w:footnote>
  <w:footnote w:id="2">
    <w:p w14:paraId="39C44CB2" w14:textId="0F22E16D" w:rsidR="00672887" w:rsidRDefault="00672887" w:rsidP="00672887">
      <w:pPr>
        <w:pStyle w:val="FootnoteText"/>
        <w:jc w:val="both"/>
      </w:pPr>
      <w:r>
        <w:rPr>
          <w:rStyle w:val="FootnoteReference"/>
        </w:rPr>
        <w:footnoteRef/>
      </w:r>
      <w:r>
        <w:t xml:space="preserve"> Điều 1 theo Quy định của Tòa án Nhân dân Tối cao về việc áp dụng cụ thể pháp luật trong xử lý các vụ án giảm hình phạt và tha tù trước thời hạn của Cộng hòa Nhân dân Trung Hoa - (Supreme People's Court Provisions on the Specific Application of Law in Handling Cases of Commutations and Parole - gọi tắt là Quy định của SPC), [https://www.chinalawtranslate.com/en/supreme-peoples-court-provisions-on-the-specific-application-of-law-in- handling-cases-of-sentence-reductions-and-parole/] (truy cập ngày 14/9/2025)</w:t>
      </w:r>
    </w:p>
  </w:footnote>
  <w:footnote w:id="3">
    <w:p w14:paraId="3256CC0F" w14:textId="51D02025" w:rsidR="00672887" w:rsidRDefault="00672887" w:rsidP="00672887">
      <w:pPr>
        <w:pStyle w:val="FootnoteText"/>
        <w:jc w:val="both"/>
      </w:pPr>
      <w:r>
        <w:rPr>
          <w:rStyle w:val="FootnoteReference"/>
        </w:rPr>
        <w:footnoteRef/>
      </w:r>
      <w:r>
        <w:t xml:space="preserve"> Trường Đại học Luật Thành phố Hồ Chí Minh (2023), Giáo trình Luật Hình sự Việt Nam phần chung, NXB Công an Nhân dân, Thành phố Hồ Chí Minh, tr. 394.</w:t>
      </w:r>
    </w:p>
  </w:footnote>
  <w:footnote w:id="4">
    <w:p w14:paraId="15F9D9F2" w14:textId="25D935A9" w:rsidR="00672887" w:rsidRDefault="00672887" w:rsidP="00672887">
      <w:pPr>
        <w:pStyle w:val="FootnoteText"/>
        <w:jc w:val="both"/>
      </w:pPr>
      <w:r>
        <w:rPr>
          <w:rStyle w:val="FootnoteReference"/>
        </w:rPr>
        <w:footnoteRef/>
      </w:r>
      <w:r>
        <w:t xml:space="preserve"> Điều 78 Bộ luật Hình sự Cộng hòa Nhân dân Trung Hoa năm 1979 (sửa đổi, bổ sung năm 1997, năm 2015).</w:t>
      </w:r>
    </w:p>
  </w:footnote>
  <w:footnote w:id="5">
    <w:p w14:paraId="1B71AB20" w14:textId="02BE41F8" w:rsidR="00672887" w:rsidRDefault="00672887" w:rsidP="00672887">
      <w:pPr>
        <w:pStyle w:val="FootnoteText"/>
        <w:jc w:val="both"/>
      </w:pPr>
      <w:r>
        <w:rPr>
          <w:rStyle w:val="FootnoteReference"/>
        </w:rPr>
        <w:footnoteRef/>
      </w:r>
      <w:r>
        <w:t xml:space="preserve"> Khoản 1 Điều 63 Bộ luật Hình sự Việt Nam (sửa đổi, bổ sung năm 2017, 2024, 2025).</w:t>
      </w:r>
    </w:p>
  </w:footnote>
  <w:footnote w:id="6">
    <w:p w14:paraId="0C3158E5" w14:textId="4150B31D" w:rsidR="00672887" w:rsidRDefault="00672887">
      <w:pPr>
        <w:pStyle w:val="FootnoteText"/>
      </w:pPr>
      <w:r>
        <w:rPr>
          <w:rStyle w:val="FootnoteReference"/>
        </w:rPr>
        <w:footnoteRef/>
      </w:r>
      <w:r>
        <w:t xml:space="preserve"> Điều 19, 20 theo Quy định của SPC.</w:t>
      </w:r>
    </w:p>
  </w:footnote>
  <w:footnote w:id="7">
    <w:p w14:paraId="13A182F8" w14:textId="73CBDA6F" w:rsidR="00672887" w:rsidRDefault="00672887">
      <w:pPr>
        <w:pStyle w:val="FootnoteText"/>
      </w:pPr>
      <w:r>
        <w:rPr>
          <w:rStyle w:val="FootnoteReference"/>
        </w:rPr>
        <w:footnoteRef/>
      </w:r>
      <w:r>
        <w:t xml:space="preserve"> Điều 64 Bộ luật Hình sự Việt Nam (sửa đổi, bổ sung năm 2017, năm 2025); Điều 20 theo Quy định của SPC.</w:t>
      </w:r>
    </w:p>
  </w:footnote>
  <w:footnote w:id="8">
    <w:p w14:paraId="49432268" w14:textId="3A34699E" w:rsidR="00672887" w:rsidRDefault="00672887">
      <w:pPr>
        <w:pStyle w:val="FootnoteText"/>
      </w:pPr>
      <w:r>
        <w:rPr>
          <w:rStyle w:val="FootnoteReference"/>
        </w:rPr>
        <w:footnoteRef/>
      </w:r>
      <w:r>
        <w:t xml:space="preserve"> Khoản 4, khoản 5, khoản 6 Điều 63 Bộ luật Hình sự Việt Nam (sửa đổi, bổ sung năm 2017, năm 2025); Điều 7, Điều 9, Điều 11 Bộ luật Hình sự Cộng hòa Nhân dân Trung Hoa năm 1979 (sửa đổi, bổ sung năm 1997, năm 2015).</w:t>
      </w:r>
    </w:p>
  </w:footnote>
  <w:footnote w:id="9">
    <w:p w14:paraId="3CAC6405" w14:textId="1828F13E" w:rsidR="00672887" w:rsidRDefault="00672887">
      <w:pPr>
        <w:pStyle w:val="FootnoteText"/>
      </w:pPr>
      <w:r>
        <w:rPr>
          <w:rStyle w:val="FootnoteReference"/>
        </w:rPr>
        <w:footnoteRef/>
      </w:r>
      <w:r>
        <w:t xml:space="preserve"> Điều 63, Điều 64 Bộ luật Hình sự Việt Nam (sửa đổi, bổ sung năm 2017, năm 2025); Khoản 2 Điều 38 Luật Thi hành án hình sự năm 2019 và Điều 79 Bộ luật Hình sự Cộng hòa Nhân dân Trung Hoa năm 1979 (sửa đổi, bổ sung năm 1997, năm 2015).</w:t>
      </w:r>
    </w:p>
  </w:footnote>
  <w:footnote w:id="10">
    <w:p w14:paraId="5ABB8DE0" w14:textId="7B336BC5" w:rsidR="00672887" w:rsidRDefault="00672887">
      <w:pPr>
        <w:pStyle w:val="FootnoteText"/>
      </w:pPr>
      <w:r>
        <w:rPr>
          <w:rStyle w:val="FootnoteReference"/>
        </w:rPr>
        <w:footnoteRef/>
      </w:r>
      <w:r>
        <w:t xml:space="preserve"> Điều 78 Bộ luật Hình sự Cộng hòa Nhân dân Trung Hoa năm 1979 (sửa đổi, bổ sung năm 1997, 2015).</w:t>
      </w:r>
    </w:p>
  </w:footnote>
  <w:footnote w:id="11">
    <w:p w14:paraId="537736E2" w14:textId="66D457A6" w:rsidR="00672887" w:rsidRDefault="00672887">
      <w:pPr>
        <w:pStyle w:val="FootnoteText"/>
      </w:pPr>
      <w:r>
        <w:rPr>
          <w:rStyle w:val="FootnoteReference"/>
        </w:rPr>
        <w:footnoteRef/>
      </w:r>
      <w:r>
        <w:t xml:space="preserve"> Khoản 2 Điều 63 Bộ luật Hình sự Việt Nam (sửa đổi, bổ sung năm 2017, 2024, 2025).</w:t>
      </w:r>
    </w:p>
  </w:footnote>
  <w:footnote w:id="12">
    <w:p w14:paraId="32D42FBD" w14:textId="5404E28B" w:rsidR="00672887" w:rsidRDefault="00672887" w:rsidP="00672887">
      <w:pPr>
        <w:pStyle w:val="FootnoteText"/>
        <w:jc w:val="both"/>
      </w:pPr>
      <w:r>
        <w:rPr>
          <w:rStyle w:val="FootnoteReference"/>
        </w:rPr>
        <w:footnoteRef/>
      </w:r>
      <w:r>
        <w:t xml:space="preserve"> Điều 64 Bộ luật Hình sự Việt Nam (sửa đổi, bổ sung năm 2017, 2024, 2025) và Điều 78 Bộ luật Hình sự Cộng hòa Nhân dân Trung Hoa năm 1979 (sửa đổi, bổ sung năm 1997, 2015).</w:t>
      </w:r>
    </w:p>
  </w:footnote>
  <w:footnote w:id="13">
    <w:p w14:paraId="42D61F77" w14:textId="58595469" w:rsidR="00672887" w:rsidRDefault="00672887" w:rsidP="00672887">
      <w:pPr>
        <w:pStyle w:val="FootnoteText"/>
        <w:jc w:val="both"/>
      </w:pPr>
      <w:r>
        <w:rPr>
          <w:rStyle w:val="FootnoteReference"/>
        </w:rPr>
        <w:footnoteRef/>
      </w:r>
      <w:r>
        <w:t xml:space="preserve"> Trường Đại học Luật Thành phố Hồ Chí Minh (2023), Giáo trình Luật Hình sự Việt Nam phần chung, NXB Công an Nhân dân, Thành phố Hồ Chí Minh, tr. 395.</w:t>
      </w:r>
    </w:p>
  </w:footnote>
  <w:footnote w:id="14">
    <w:p w14:paraId="5B73E09E" w14:textId="2D23DB1A" w:rsidR="00672887" w:rsidRDefault="00672887" w:rsidP="00672887">
      <w:pPr>
        <w:pStyle w:val="FootnoteText"/>
        <w:jc w:val="both"/>
      </w:pPr>
      <w:r>
        <w:rPr>
          <w:rStyle w:val="FootnoteReference"/>
        </w:rPr>
        <w:footnoteRef/>
      </w:r>
      <w:r>
        <w:t xml:space="preserve"> Điểm b, khoản 1, Điều 5 Nghị quyết 03/2024/NQ-HĐTP ngày 10 tháng 6 năm 2024 của Hội đồng Thẩm phán Tòa án nhân dân Tối cao Việt Nam về 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footnote>
  <w:footnote w:id="15">
    <w:p w14:paraId="4DC59CBB" w14:textId="712C487F" w:rsidR="00672887" w:rsidRDefault="00672887" w:rsidP="00672887">
      <w:pPr>
        <w:pStyle w:val="FootnoteText"/>
        <w:jc w:val="both"/>
      </w:pPr>
      <w:r>
        <w:rPr>
          <w:rStyle w:val="FootnoteReference"/>
        </w:rPr>
        <w:footnoteRef/>
      </w:r>
      <w:r>
        <w:t xml:space="preserve"> Điểm c, khoản 1, Điều 5 Nghị quyết 03/2024/NQ-HĐTP ngày 10 tháng 6 năm 2024 của Hội đồng Thẩm phán Tòa án nhân dân Tối cao Việt Nam về 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footnote>
  <w:footnote w:id="16">
    <w:p w14:paraId="109491F6" w14:textId="044034D8" w:rsidR="00672887" w:rsidRDefault="00672887" w:rsidP="00672887">
      <w:pPr>
        <w:pStyle w:val="FootnoteText"/>
        <w:jc w:val="both"/>
      </w:pPr>
      <w:r>
        <w:rPr>
          <w:rStyle w:val="FootnoteReference"/>
        </w:rPr>
        <w:footnoteRef/>
      </w:r>
      <w:r>
        <w:t xml:space="preserve"> Thông tư số 06/2018/TT-BCA ngày 12 tháng 02 năm 2018 quy định về tiêu chuẩn thi đua trong chấp hành án phạt tù và xếp loại chấp hành án phạt tù cho phạm nhân (Dự thảo Thông tư mới chưa được thông qua).</w:t>
      </w:r>
    </w:p>
  </w:footnote>
  <w:footnote w:id="17">
    <w:p w14:paraId="55DF3598" w14:textId="608D678F" w:rsidR="00672887" w:rsidRDefault="00672887">
      <w:pPr>
        <w:pStyle w:val="FootnoteText"/>
      </w:pPr>
      <w:r>
        <w:rPr>
          <w:rStyle w:val="FootnoteReference"/>
        </w:rPr>
        <w:footnoteRef/>
      </w:r>
      <w:r>
        <w:t xml:space="preserve"> Điều 78 Bộ luật Hình sự Cộng hòa Nhân dân Trung Hoa năm 1979 (sửa đổi, bổ sung năm 1997, 2015).</w:t>
      </w:r>
    </w:p>
  </w:footnote>
  <w:footnote w:id="18">
    <w:p w14:paraId="46604070" w14:textId="40536785" w:rsidR="00672887" w:rsidRDefault="00672887">
      <w:pPr>
        <w:pStyle w:val="FootnoteText"/>
      </w:pPr>
      <w:r>
        <w:rPr>
          <w:rStyle w:val="FootnoteReference"/>
        </w:rPr>
        <w:footnoteRef/>
      </w:r>
      <w:r>
        <w:t xml:space="preserve"> Điều 3 theo Quy định của SPC.</w:t>
      </w:r>
    </w:p>
  </w:footnote>
  <w:footnote w:id="19">
    <w:p w14:paraId="6CCED272" w14:textId="5AB721EC" w:rsidR="00672887" w:rsidRDefault="00672887">
      <w:pPr>
        <w:pStyle w:val="FootnoteText"/>
      </w:pPr>
      <w:r>
        <w:rPr>
          <w:rStyle w:val="FootnoteReference"/>
        </w:rPr>
        <w:footnoteRef/>
      </w:r>
      <w:r>
        <w:t xml:space="preserve"> Điều 3 theo Quy định của SPC.</w:t>
      </w:r>
    </w:p>
  </w:footnote>
  <w:footnote w:id="20">
    <w:p w14:paraId="4AD728B4" w14:textId="29F8AB7D" w:rsidR="00672887" w:rsidRDefault="00672887">
      <w:pPr>
        <w:pStyle w:val="FootnoteText"/>
      </w:pPr>
      <w:r>
        <w:rPr>
          <w:rStyle w:val="FootnoteReference"/>
        </w:rPr>
        <w:footnoteRef/>
      </w:r>
      <w:r>
        <w:t xml:space="preserve"> Điều 4 theo Quy định của SPC.</w:t>
      </w:r>
    </w:p>
  </w:footnote>
  <w:footnote w:id="21">
    <w:p w14:paraId="618040C1" w14:textId="43D7948E" w:rsidR="00672887" w:rsidRDefault="00672887">
      <w:pPr>
        <w:pStyle w:val="FootnoteText"/>
      </w:pPr>
      <w:r>
        <w:rPr>
          <w:rStyle w:val="FootnoteReference"/>
        </w:rPr>
        <w:footnoteRef/>
      </w:r>
      <w:r>
        <w:t xml:space="preserve"> Điều 4 theo Quy định của SPC.</w:t>
      </w:r>
    </w:p>
  </w:footnote>
  <w:footnote w:id="22">
    <w:p w14:paraId="4EEEBC11" w14:textId="36F446D5" w:rsidR="00672887" w:rsidRDefault="00672887">
      <w:pPr>
        <w:pStyle w:val="FootnoteText"/>
      </w:pPr>
      <w:r>
        <w:rPr>
          <w:rStyle w:val="FootnoteReference"/>
        </w:rPr>
        <w:footnoteRef/>
      </w:r>
      <w:r>
        <w:t xml:space="preserve"> Điều 78 Bộ luật Hình sự Cộng hòa Nhân dân Trung Hoa năm 1979 (sửa đổi, bổ sung năm 1997, 2015).</w:t>
      </w:r>
    </w:p>
  </w:footnote>
  <w:footnote w:id="23">
    <w:p w14:paraId="72C8FBED" w14:textId="43413868" w:rsidR="00672887" w:rsidRDefault="00672887">
      <w:pPr>
        <w:pStyle w:val="FootnoteText"/>
      </w:pPr>
      <w:r>
        <w:rPr>
          <w:rStyle w:val="FootnoteReference"/>
        </w:rPr>
        <w:footnoteRef/>
      </w:r>
      <w:r>
        <w:t xml:space="preserve"> Điều 78 Bộ luật Hình sự Cộng hòa Nhân dân Trung Hoa năm 1979 (sửa đổi, bổ sung năm 1997, 2015).</w:t>
      </w:r>
    </w:p>
  </w:footnote>
  <w:footnote w:id="24">
    <w:p w14:paraId="145979D6" w14:textId="13C0A02E" w:rsidR="00672887" w:rsidRDefault="00672887" w:rsidP="00672887">
      <w:pPr>
        <w:pStyle w:val="FootnoteText"/>
        <w:jc w:val="both"/>
      </w:pPr>
      <w:r>
        <w:rPr>
          <w:rStyle w:val="FootnoteReference"/>
        </w:rPr>
        <w:footnoteRef/>
      </w:r>
      <w:r>
        <w:t xml:space="preserve"> Điều 64 Bộ luật Hình sự Việt Nam (sửa đổi, bổ sung năm 2017, năm 2025); Khoản 2 Điều 2 Nghị quyết 03/2024/NQ-HĐTP ngày 10 tháng 6 năm 2024 của Hội đồng Thẩm phán Tòa án nhân dân Tối cao Việt Nam về 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footnote>
  <w:footnote w:id="25">
    <w:p w14:paraId="28660F55" w14:textId="239ADF37" w:rsidR="00672887" w:rsidRDefault="00672887">
      <w:pPr>
        <w:pStyle w:val="FootnoteText"/>
      </w:pPr>
      <w:r>
        <w:rPr>
          <w:rStyle w:val="FootnoteReference"/>
        </w:rPr>
        <w:footnoteRef/>
      </w:r>
      <w:r>
        <w:t xml:space="preserve"> Điều 38 Thi hành án hình sự năm 2019.</w:t>
      </w:r>
    </w:p>
  </w:footnote>
  <w:footnote w:id="26">
    <w:p w14:paraId="0E0E5D35" w14:textId="7084FD26" w:rsidR="00672887" w:rsidRDefault="00672887">
      <w:pPr>
        <w:pStyle w:val="FootnoteText"/>
      </w:pPr>
      <w:r>
        <w:rPr>
          <w:rStyle w:val="FootnoteReference"/>
        </w:rPr>
        <w:footnoteRef/>
      </w:r>
      <w:r>
        <w:t xml:space="preserve"> Điều 79 Bộ luật Hình sự Cộng hòa Nhân dân Trung Hoa năm 1979 (sửa đổi, bổ sung năm 1997, 2015).</w:t>
      </w:r>
    </w:p>
  </w:footnote>
  <w:footnote w:id="27">
    <w:p w14:paraId="4EC15DD4" w14:textId="0D4E0F62" w:rsidR="00672887" w:rsidRDefault="00672887">
      <w:pPr>
        <w:pStyle w:val="FootnoteText"/>
      </w:pPr>
      <w:r>
        <w:rPr>
          <w:rStyle w:val="FootnoteReference"/>
        </w:rPr>
        <w:footnoteRef/>
      </w:r>
      <w:r>
        <w:t xml:space="preserve"> Điều 18 theo Quy định của SPC.</w:t>
      </w:r>
    </w:p>
  </w:footnote>
  <w:footnote w:id="28">
    <w:p w14:paraId="48B2ECA1" w14:textId="3A39CE02" w:rsidR="00672887" w:rsidRDefault="00672887">
      <w:pPr>
        <w:pStyle w:val="FootnoteText"/>
      </w:pPr>
      <w:r>
        <w:rPr>
          <w:rStyle w:val="FootnoteReference"/>
        </w:rPr>
        <w:footnoteRef/>
      </w:r>
      <w:r>
        <w:t xml:space="preserve"> Điều 3 theo Quy định của SPC.</w:t>
      </w:r>
    </w:p>
  </w:footnote>
  <w:footnote w:id="29">
    <w:p w14:paraId="2E5A4245" w14:textId="400EB1BC" w:rsidR="00672887" w:rsidRDefault="00672887">
      <w:pPr>
        <w:pStyle w:val="FootnoteText"/>
      </w:pPr>
      <w:r>
        <w:rPr>
          <w:rStyle w:val="FootnoteReference"/>
        </w:rPr>
        <w:footnoteRef/>
      </w:r>
      <w:r>
        <w:t xml:space="preserve"> Điều 15 theo Quy định của SPC.</w:t>
      </w:r>
    </w:p>
  </w:footnote>
  <w:footnote w:id="30">
    <w:p w14:paraId="7A5309A2" w14:textId="52A481D4" w:rsidR="00672887" w:rsidRDefault="00672887" w:rsidP="00672887">
      <w:pPr>
        <w:pStyle w:val="FootnoteText"/>
        <w:jc w:val="both"/>
      </w:pPr>
      <w:r>
        <w:rPr>
          <w:rStyle w:val="FootnoteReference"/>
        </w:rPr>
        <w:footnoteRef/>
      </w:r>
      <w:r>
        <w:t xml:space="preserve"> Điểm a, khoản 1 Điều 5 Nghị quyết 03/2024/NQ-HĐTP ngày 10 tháng 6 năm 2024 của Hội đồng Thẩm phán Tòa án nhân dân Tối cao Việt Nam về 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footnote>
  <w:footnote w:id="31">
    <w:p w14:paraId="53C222D4" w14:textId="402D57F7" w:rsidR="00672887" w:rsidRDefault="00672887">
      <w:pPr>
        <w:pStyle w:val="FootnoteText"/>
      </w:pPr>
      <w:r>
        <w:rPr>
          <w:rStyle w:val="FootnoteReference"/>
        </w:rPr>
        <w:footnoteRef/>
      </w:r>
      <w:r>
        <w:t xml:space="preserve"> Điều 6 theo Quy định của SPC.</w:t>
      </w:r>
    </w:p>
  </w:footnote>
  <w:footnote w:id="32">
    <w:p w14:paraId="583271BD" w14:textId="572C3F2D" w:rsidR="00672887" w:rsidRDefault="00672887">
      <w:pPr>
        <w:pStyle w:val="FootnoteText"/>
      </w:pPr>
      <w:r>
        <w:rPr>
          <w:rStyle w:val="FootnoteReference"/>
        </w:rPr>
        <w:footnoteRef/>
      </w:r>
      <w:r>
        <w:t xml:space="preserve"> Điều 8 theo Quy định của SPC.</w:t>
      </w:r>
    </w:p>
  </w:footnote>
  <w:footnote w:id="33">
    <w:p w14:paraId="47E6C770" w14:textId="7F61AF0A" w:rsidR="00672887" w:rsidRDefault="00672887">
      <w:pPr>
        <w:pStyle w:val="FootnoteText"/>
      </w:pPr>
      <w:r>
        <w:rPr>
          <w:rStyle w:val="FootnoteReference"/>
        </w:rPr>
        <w:footnoteRef/>
      </w:r>
      <w:r>
        <w:t xml:space="preserve"> Điều 7, Điều 9, Điều 10, Điều 11 theo Quy định của SPC.</w:t>
      </w:r>
    </w:p>
  </w:footnote>
  <w:footnote w:id="34">
    <w:p w14:paraId="44352A6F" w14:textId="0078F134" w:rsidR="00672887" w:rsidRDefault="00672887">
      <w:pPr>
        <w:pStyle w:val="FootnoteText"/>
      </w:pPr>
      <w:r>
        <w:rPr>
          <w:rStyle w:val="FootnoteReference"/>
        </w:rPr>
        <w:footnoteRef/>
      </w:r>
      <w:r>
        <w:t xml:space="preserve"> Trịnh Thị Nhật Huyền, </w:t>
      </w:r>
      <w:r w:rsidRPr="002D68A4">
        <w:rPr>
          <w:i/>
        </w:rPr>
        <w:t>“Bàn về cách tính thời hạn chấp hành hình phạt tù”</w:t>
      </w:r>
      <w:r>
        <w:t>, [https://vienkiemsathaiphong.gov.vn/kiem-sat-vien-viet/ban-ve-cach-tinh-thoi-han-chap-hanh-hinh-phat-tu-20778] (truy cập ngày 14/9/2025)</w:t>
      </w:r>
    </w:p>
  </w:footnote>
  <w:footnote w:id="35">
    <w:p w14:paraId="0F29B4DD" w14:textId="400E7A7A" w:rsidR="00672887" w:rsidRDefault="00672887">
      <w:pPr>
        <w:pStyle w:val="FootnoteText"/>
      </w:pPr>
      <w:r>
        <w:rPr>
          <w:rStyle w:val="FootnoteReference"/>
        </w:rPr>
        <w:footnoteRef/>
      </w:r>
      <w:r>
        <w:t xml:space="preserve"> Điều 63 Bộ luật Hình sự Việt Nam (sửa đổi, bổ sung năm 2017, năm 2025).</w:t>
      </w:r>
    </w:p>
  </w:footnote>
  <w:footnote w:id="36">
    <w:p w14:paraId="3C31E6C6" w14:textId="4B8ABB68" w:rsidR="00672887" w:rsidRDefault="00672887" w:rsidP="00672887">
      <w:pPr>
        <w:pStyle w:val="FootnoteText"/>
        <w:jc w:val="both"/>
      </w:pPr>
      <w:r>
        <w:rPr>
          <w:rStyle w:val="FootnoteReference"/>
        </w:rPr>
        <w:footnoteRef/>
      </w:r>
      <w:r>
        <w:t xml:space="preserve"> Khoản 2 Điều 5 Nghị quyết 03/2024/NQ-HĐTP ngày 10 tháng 6 năm 2024 của Hội đồng Thẩm phán Tòa án nhân dân Tối cao Việt Nam về hướng dẫn áp dụng một số quy định của bộ luật hình sự về thời hiệu thi hành bản án, miễn chấp hành hình phạt, giảm mức hình phạt đã tuyên, giảm thời hạn chấp hành hình phạt trong trường hợp đặc biệt, hoãn chấp hành hình phạt tù, tạm đình chỉ chấp hành hình phạt tù.</w:t>
      </w:r>
    </w:p>
  </w:footnote>
  <w:footnote w:id="37">
    <w:p w14:paraId="251C8911" w14:textId="541E140B" w:rsidR="00672887" w:rsidRDefault="00672887">
      <w:pPr>
        <w:pStyle w:val="FootnoteText"/>
      </w:pPr>
      <w:r>
        <w:rPr>
          <w:rStyle w:val="FootnoteReference"/>
        </w:rPr>
        <w:footnoteRef/>
      </w:r>
      <w:r>
        <w:t xml:space="preserve"> Điều 6, Điều 8, Điều 10 theo Quy định của SPC.</w:t>
      </w:r>
    </w:p>
  </w:footnote>
  <w:footnote w:id="38">
    <w:p w14:paraId="3F22193D" w14:textId="7D2F6911" w:rsidR="00672887" w:rsidRDefault="00672887">
      <w:pPr>
        <w:pStyle w:val="FootnoteText"/>
      </w:pPr>
      <w:r>
        <w:rPr>
          <w:rStyle w:val="FootnoteReference"/>
        </w:rPr>
        <w:footnoteRef/>
      </w:r>
      <w:r>
        <w:t xml:space="preserve"> </w:t>
      </w:r>
      <w:r w:rsidR="00E9653E">
        <w:t>Điều 38 Luật thi hành án hình sự năm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FF90" w14:textId="011DA56F" w:rsidR="00252566"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2D68A4">
      <w:rPr>
        <w:noProof/>
        <w:color w:val="000000"/>
      </w:rPr>
      <w:t>8</w:t>
    </w:r>
    <w:r>
      <w:rPr>
        <w:color w:val="000000"/>
      </w:rPr>
      <w:fldChar w:fldCharType="end"/>
    </w:r>
  </w:p>
  <w:p w14:paraId="5C53ADEF" w14:textId="6A71C05F" w:rsidR="00252566" w:rsidRPr="00690E0D"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25D"/>
    <w:multiLevelType w:val="hybridMultilevel"/>
    <w:tmpl w:val="CCA8E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121DA"/>
    <w:multiLevelType w:val="hybridMultilevel"/>
    <w:tmpl w:val="B8146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65BE9"/>
    <w:multiLevelType w:val="hybridMultilevel"/>
    <w:tmpl w:val="750E2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96756"/>
    <w:multiLevelType w:val="multilevel"/>
    <w:tmpl w:val="4FC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03F3B"/>
    <w:multiLevelType w:val="hybridMultilevel"/>
    <w:tmpl w:val="E4B22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E586C"/>
    <w:multiLevelType w:val="multilevel"/>
    <w:tmpl w:val="C3D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72C66"/>
    <w:multiLevelType w:val="hybridMultilevel"/>
    <w:tmpl w:val="ECBEB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C72CE"/>
    <w:multiLevelType w:val="multilevel"/>
    <w:tmpl w:val="27B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06419"/>
    <w:multiLevelType w:val="hybridMultilevel"/>
    <w:tmpl w:val="9F8EA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027682"/>
    <w:multiLevelType w:val="hybridMultilevel"/>
    <w:tmpl w:val="5380D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2317BD"/>
    <w:multiLevelType w:val="multilevel"/>
    <w:tmpl w:val="C0A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D658C"/>
    <w:multiLevelType w:val="multilevel"/>
    <w:tmpl w:val="DCE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D2562A"/>
    <w:multiLevelType w:val="hybridMultilevel"/>
    <w:tmpl w:val="B7968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59295F"/>
    <w:multiLevelType w:val="hybridMultilevel"/>
    <w:tmpl w:val="C7686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D3673F"/>
    <w:multiLevelType w:val="multilevel"/>
    <w:tmpl w:val="2F1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655F3"/>
    <w:multiLevelType w:val="multilevel"/>
    <w:tmpl w:val="193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7501F"/>
    <w:multiLevelType w:val="hybridMultilevel"/>
    <w:tmpl w:val="166A2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010129"/>
    <w:multiLevelType w:val="hybridMultilevel"/>
    <w:tmpl w:val="79402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0F7921"/>
    <w:multiLevelType w:val="hybridMultilevel"/>
    <w:tmpl w:val="7B364D0C"/>
    <w:lvl w:ilvl="0" w:tplc="5E94BF8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111CA"/>
    <w:multiLevelType w:val="hybridMultilevel"/>
    <w:tmpl w:val="452AE514"/>
    <w:lvl w:ilvl="0" w:tplc="CF0EEF12">
      <w:start w:val="1"/>
      <w:numFmt w:val="bullet"/>
      <w:lvlText w:val="-"/>
      <w:lvlJc w:val="left"/>
      <w:pPr>
        <w:ind w:left="720" w:hanging="360"/>
      </w:pPr>
      <w:rPr>
        <w:rFonts w:ascii="Calibri" w:eastAsia="Times New Roman"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7"/>
  </w:num>
  <w:num w:numId="5">
    <w:abstractNumId w:val="15"/>
  </w:num>
  <w:num w:numId="6">
    <w:abstractNumId w:val="10"/>
  </w:num>
  <w:num w:numId="7">
    <w:abstractNumId w:val="5"/>
  </w:num>
  <w:num w:numId="8">
    <w:abstractNumId w:val="2"/>
  </w:num>
  <w:num w:numId="9">
    <w:abstractNumId w:val="0"/>
  </w:num>
  <w:num w:numId="10">
    <w:abstractNumId w:val="4"/>
  </w:num>
  <w:num w:numId="11">
    <w:abstractNumId w:val="8"/>
  </w:num>
  <w:num w:numId="12">
    <w:abstractNumId w:val="6"/>
  </w:num>
  <w:num w:numId="13">
    <w:abstractNumId w:val="13"/>
  </w:num>
  <w:num w:numId="14">
    <w:abstractNumId w:val="9"/>
  </w:num>
  <w:num w:numId="15">
    <w:abstractNumId w:val="18"/>
  </w:num>
  <w:num w:numId="16">
    <w:abstractNumId w:val="19"/>
  </w:num>
  <w:num w:numId="17">
    <w:abstractNumId w:val="16"/>
  </w:num>
  <w:num w:numId="18">
    <w:abstractNumId w:val="1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69"/>
    <w:rsid w:val="00000430"/>
    <w:rsid w:val="00000FFD"/>
    <w:rsid w:val="00001276"/>
    <w:rsid w:val="000013B1"/>
    <w:rsid w:val="00001BA0"/>
    <w:rsid w:val="00001CE6"/>
    <w:rsid w:val="00002D56"/>
    <w:rsid w:val="00002FAE"/>
    <w:rsid w:val="00004577"/>
    <w:rsid w:val="000046A6"/>
    <w:rsid w:val="00005B22"/>
    <w:rsid w:val="00006B63"/>
    <w:rsid w:val="00007BC5"/>
    <w:rsid w:val="0001059F"/>
    <w:rsid w:val="0001222F"/>
    <w:rsid w:val="0001265D"/>
    <w:rsid w:val="00012EFE"/>
    <w:rsid w:val="0001346D"/>
    <w:rsid w:val="000135A4"/>
    <w:rsid w:val="00013A0D"/>
    <w:rsid w:val="00014356"/>
    <w:rsid w:val="000146AD"/>
    <w:rsid w:val="00014F80"/>
    <w:rsid w:val="000156E3"/>
    <w:rsid w:val="00016665"/>
    <w:rsid w:val="000173A0"/>
    <w:rsid w:val="00020098"/>
    <w:rsid w:val="000221AE"/>
    <w:rsid w:val="000224F9"/>
    <w:rsid w:val="00023BF1"/>
    <w:rsid w:val="00023F8A"/>
    <w:rsid w:val="0002483F"/>
    <w:rsid w:val="000254CE"/>
    <w:rsid w:val="0002577B"/>
    <w:rsid w:val="00027761"/>
    <w:rsid w:val="000277DA"/>
    <w:rsid w:val="00027BDD"/>
    <w:rsid w:val="00027CFD"/>
    <w:rsid w:val="000317BD"/>
    <w:rsid w:val="00031F33"/>
    <w:rsid w:val="0003463C"/>
    <w:rsid w:val="00034A0E"/>
    <w:rsid w:val="000365EA"/>
    <w:rsid w:val="0004022F"/>
    <w:rsid w:val="00041E9E"/>
    <w:rsid w:val="0004384F"/>
    <w:rsid w:val="00043F52"/>
    <w:rsid w:val="0004456B"/>
    <w:rsid w:val="00044654"/>
    <w:rsid w:val="0004682D"/>
    <w:rsid w:val="00047D92"/>
    <w:rsid w:val="00047E60"/>
    <w:rsid w:val="00052ECF"/>
    <w:rsid w:val="00053277"/>
    <w:rsid w:val="000532F7"/>
    <w:rsid w:val="0005346B"/>
    <w:rsid w:val="00053A62"/>
    <w:rsid w:val="00054579"/>
    <w:rsid w:val="000549DB"/>
    <w:rsid w:val="00054A1B"/>
    <w:rsid w:val="000561C2"/>
    <w:rsid w:val="00056638"/>
    <w:rsid w:val="000603D0"/>
    <w:rsid w:val="00060E8D"/>
    <w:rsid w:val="00060F53"/>
    <w:rsid w:val="00061878"/>
    <w:rsid w:val="00061CD6"/>
    <w:rsid w:val="0006223F"/>
    <w:rsid w:val="0006276E"/>
    <w:rsid w:val="00062A9D"/>
    <w:rsid w:val="00063F4A"/>
    <w:rsid w:val="000648C8"/>
    <w:rsid w:val="00065011"/>
    <w:rsid w:val="00065ADF"/>
    <w:rsid w:val="00066A04"/>
    <w:rsid w:val="000671B4"/>
    <w:rsid w:val="0006775D"/>
    <w:rsid w:val="00067B5C"/>
    <w:rsid w:val="0007046E"/>
    <w:rsid w:val="00070884"/>
    <w:rsid w:val="00071210"/>
    <w:rsid w:val="000717BC"/>
    <w:rsid w:val="000719FC"/>
    <w:rsid w:val="00072BFA"/>
    <w:rsid w:val="00072C0A"/>
    <w:rsid w:val="00073D51"/>
    <w:rsid w:val="00074D0B"/>
    <w:rsid w:val="0007647B"/>
    <w:rsid w:val="00076AEE"/>
    <w:rsid w:val="00076CA3"/>
    <w:rsid w:val="00076D6D"/>
    <w:rsid w:val="0007712A"/>
    <w:rsid w:val="000772C3"/>
    <w:rsid w:val="000774B7"/>
    <w:rsid w:val="00077AEF"/>
    <w:rsid w:val="000800A3"/>
    <w:rsid w:val="0008077F"/>
    <w:rsid w:val="000820CB"/>
    <w:rsid w:val="000840D3"/>
    <w:rsid w:val="0008451C"/>
    <w:rsid w:val="00084B8D"/>
    <w:rsid w:val="0008568F"/>
    <w:rsid w:val="00085ACF"/>
    <w:rsid w:val="00086FB0"/>
    <w:rsid w:val="0009041D"/>
    <w:rsid w:val="00091046"/>
    <w:rsid w:val="00091685"/>
    <w:rsid w:val="00092615"/>
    <w:rsid w:val="0009266A"/>
    <w:rsid w:val="00094358"/>
    <w:rsid w:val="00094651"/>
    <w:rsid w:val="00095167"/>
    <w:rsid w:val="0009582E"/>
    <w:rsid w:val="0009636F"/>
    <w:rsid w:val="00097D16"/>
    <w:rsid w:val="000A025D"/>
    <w:rsid w:val="000A24E5"/>
    <w:rsid w:val="000A335F"/>
    <w:rsid w:val="000A3B17"/>
    <w:rsid w:val="000A5E5B"/>
    <w:rsid w:val="000A750A"/>
    <w:rsid w:val="000A77E5"/>
    <w:rsid w:val="000B1472"/>
    <w:rsid w:val="000B167A"/>
    <w:rsid w:val="000B1BB0"/>
    <w:rsid w:val="000B26F4"/>
    <w:rsid w:val="000B3B80"/>
    <w:rsid w:val="000B3BBE"/>
    <w:rsid w:val="000B41D2"/>
    <w:rsid w:val="000B5C91"/>
    <w:rsid w:val="000B6592"/>
    <w:rsid w:val="000B663D"/>
    <w:rsid w:val="000B7F20"/>
    <w:rsid w:val="000B7F6B"/>
    <w:rsid w:val="000C02BB"/>
    <w:rsid w:val="000C05D2"/>
    <w:rsid w:val="000C1A50"/>
    <w:rsid w:val="000C1E7C"/>
    <w:rsid w:val="000C2065"/>
    <w:rsid w:val="000C24BD"/>
    <w:rsid w:val="000C287B"/>
    <w:rsid w:val="000C2924"/>
    <w:rsid w:val="000C2E70"/>
    <w:rsid w:val="000C3BE0"/>
    <w:rsid w:val="000C435B"/>
    <w:rsid w:val="000C5625"/>
    <w:rsid w:val="000C57D7"/>
    <w:rsid w:val="000C64F3"/>
    <w:rsid w:val="000C7B41"/>
    <w:rsid w:val="000D00CF"/>
    <w:rsid w:val="000D02C2"/>
    <w:rsid w:val="000D03F4"/>
    <w:rsid w:val="000D0C9B"/>
    <w:rsid w:val="000D0DBA"/>
    <w:rsid w:val="000D1134"/>
    <w:rsid w:val="000D13E7"/>
    <w:rsid w:val="000D192B"/>
    <w:rsid w:val="000D23C3"/>
    <w:rsid w:val="000D47EF"/>
    <w:rsid w:val="000D537D"/>
    <w:rsid w:val="000D6F76"/>
    <w:rsid w:val="000E2945"/>
    <w:rsid w:val="000E36C5"/>
    <w:rsid w:val="000E4272"/>
    <w:rsid w:val="000E4650"/>
    <w:rsid w:val="000E5260"/>
    <w:rsid w:val="000E5435"/>
    <w:rsid w:val="000E6408"/>
    <w:rsid w:val="000E6BF2"/>
    <w:rsid w:val="000E7F24"/>
    <w:rsid w:val="000F0E01"/>
    <w:rsid w:val="000F136E"/>
    <w:rsid w:val="000F1C5C"/>
    <w:rsid w:val="000F2567"/>
    <w:rsid w:val="000F553C"/>
    <w:rsid w:val="000F5600"/>
    <w:rsid w:val="000F686F"/>
    <w:rsid w:val="000F6E6B"/>
    <w:rsid w:val="000F783E"/>
    <w:rsid w:val="000F7FB7"/>
    <w:rsid w:val="00100893"/>
    <w:rsid w:val="001011B8"/>
    <w:rsid w:val="00102909"/>
    <w:rsid w:val="001052C5"/>
    <w:rsid w:val="00105C4E"/>
    <w:rsid w:val="00106530"/>
    <w:rsid w:val="00106786"/>
    <w:rsid w:val="00106B86"/>
    <w:rsid w:val="00106C02"/>
    <w:rsid w:val="001114FF"/>
    <w:rsid w:val="0011213C"/>
    <w:rsid w:val="0011241C"/>
    <w:rsid w:val="00112907"/>
    <w:rsid w:val="00114C29"/>
    <w:rsid w:val="00114CBC"/>
    <w:rsid w:val="00115656"/>
    <w:rsid w:val="001157D7"/>
    <w:rsid w:val="001160A7"/>
    <w:rsid w:val="00121757"/>
    <w:rsid w:val="001231D7"/>
    <w:rsid w:val="00124567"/>
    <w:rsid w:val="00124B4B"/>
    <w:rsid w:val="00124B68"/>
    <w:rsid w:val="001252B6"/>
    <w:rsid w:val="00125516"/>
    <w:rsid w:val="00125896"/>
    <w:rsid w:val="001259D3"/>
    <w:rsid w:val="00126D5B"/>
    <w:rsid w:val="00126F36"/>
    <w:rsid w:val="00127950"/>
    <w:rsid w:val="00130006"/>
    <w:rsid w:val="001306B3"/>
    <w:rsid w:val="00130A6A"/>
    <w:rsid w:val="00130B06"/>
    <w:rsid w:val="00132F64"/>
    <w:rsid w:val="001337D1"/>
    <w:rsid w:val="00133D2D"/>
    <w:rsid w:val="00135014"/>
    <w:rsid w:val="001355F9"/>
    <w:rsid w:val="0013582A"/>
    <w:rsid w:val="001362B4"/>
    <w:rsid w:val="00136FD8"/>
    <w:rsid w:val="00137C46"/>
    <w:rsid w:val="00137C65"/>
    <w:rsid w:val="00140B61"/>
    <w:rsid w:val="00142512"/>
    <w:rsid w:val="00142A47"/>
    <w:rsid w:val="00142C27"/>
    <w:rsid w:val="00143472"/>
    <w:rsid w:val="001438AB"/>
    <w:rsid w:val="0014448D"/>
    <w:rsid w:val="00145490"/>
    <w:rsid w:val="00147501"/>
    <w:rsid w:val="00147597"/>
    <w:rsid w:val="00150493"/>
    <w:rsid w:val="001509CA"/>
    <w:rsid w:val="0015119B"/>
    <w:rsid w:val="001511B2"/>
    <w:rsid w:val="00151C9E"/>
    <w:rsid w:val="00152D60"/>
    <w:rsid w:val="001534AE"/>
    <w:rsid w:val="00153636"/>
    <w:rsid w:val="001539B3"/>
    <w:rsid w:val="00154011"/>
    <w:rsid w:val="00154C96"/>
    <w:rsid w:val="00154FC5"/>
    <w:rsid w:val="001555CE"/>
    <w:rsid w:val="00155A48"/>
    <w:rsid w:val="00157291"/>
    <w:rsid w:val="00160022"/>
    <w:rsid w:val="001606CD"/>
    <w:rsid w:val="001607F2"/>
    <w:rsid w:val="001618CB"/>
    <w:rsid w:val="0016300D"/>
    <w:rsid w:val="001637C3"/>
    <w:rsid w:val="00163AC0"/>
    <w:rsid w:val="00164F05"/>
    <w:rsid w:val="00165071"/>
    <w:rsid w:val="00165EAE"/>
    <w:rsid w:val="00166036"/>
    <w:rsid w:val="0017039A"/>
    <w:rsid w:val="0017042F"/>
    <w:rsid w:val="001704A8"/>
    <w:rsid w:val="001706B5"/>
    <w:rsid w:val="00170D67"/>
    <w:rsid w:val="00171DF7"/>
    <w:rsid w:val="00171E0D"/>
    <w:rsid w:val="00172CEE"/>
    <w:rsid w:val="00172F36"/>
    <w:rsid w:val="0017322B"/>
    <w:rsid w:val="00173D3B"/>
    <w:rsid w:val="001751B4"/>
    <w:rsid w:val="0017546E"/>
    <w:rsid w:val="00175F3F"/>
    <w:rsid w:val="001825A0"/>
    <w:rsid w:val="0018314B"/>
    <w:rsid w:val="001834E6"/>
    <w:rsid w:val="00184704"/>
    <w:rsid w:val="00184F0F"/>
    <w:rsid w:val="001850ED"/>
    <w:rsid w:val="001853CD"/>
    <w:rsid w:val="00185826"/>
    <w:rsid w:val="001867C3"/>
    <w:rsid w:val="001917D1"/>
    <w:rsid w:val="00191B1F"/>
    <w:rsid w:val="001921DB"/>
    <w:rsid w:val="00192608"/>
    <w:rsid w:val="00192FA3"/>
    <w:rsid w:val="0019347B"/>
    <w:rsid w:val="00193951"/>
    <w:rsid w:val="00193D99"/>
    <w:rsid w:val="0019757C"/>
    <w:rsid w:val="00197A34"/>
    <w:rsid w:val="001A038F"/>
    <w:rsid w:val="001A0C5B"/>
    <w:rsid w:val="001A0EF3"/>
    <w:rsid w:val="001A23EC"/>
    <w:rsid w:val="001A2757"/>
    <w:rsid w:val="001A2BA2"/>
    <w:rsid w:val="001A2F85"/>
    <w:rsid w:val="001A3228"/>
    <w:rsid w:val="001A4200"/>
    <w:rsid w:val="001A47BE"/>
    <w:rsid w:val="001A5351"/>
    <w:rsid w:val="001A5D9E"/>
    <w:rsid w:val="001A65D4"/>
    <w:rsid w:val="001B015E"/>
    <w:rsid w:val="001B07EA"/>
    <w:rsid w:val="001B1668"/>
    <w:rsid w:val="001B1699"/>
    <w:rsid w:val="001B1E01"/>
    <w:rsid w:val="001B29F2"/>
    <w:rsid w:val="001B2EC5"/>
    <w:rsid w:val="001B3224"/>
    <w:rsid w:val="001B3520"/>
    <w:rsid w:val="001B3BD6"/>
    <w:rsid w:val="001B49A4"/>
    <w:rsid w:val="001B53D1"/>
    <w:rsid w:val="001B6686"/>
    <w:rsid w:val="001B7228"/>
    <w:rsid w:val="001B728F"/>
    <w:rsid w:val="001B79BA"/>
    <w:rsid w:val="001C00EE"/>
    <w:rsid w:val="001C02BB"/>
    <w:rsid w:val="001C09E0"/>
    <w:rsid w:val="001C0A50"/>
    <w:rsid w:val="001C0C4D"/>
    <w:rsid w:val="001C107A"/>
    <w:rsid w:val="001C2806"/>
    <w:rsid w:val="001C30A8"/>
    <w:rsid w:val="001C3952"/>
    <w:rsid w:val="001C481D"/>
    <w:rsid w:val="001C573F"/>
    <w:rsid w:val="001C73CD"/>
    <w:rsid w:val="001C77BA"/>
    <w:rsid w:val="001C79AE"/>
    <w:rsid w:val="001D1040"/>
    <w:rsid w:val="001D27FA"/>
    <w:rsid w:val="001D340F"/>
    <w:rsid w:val="001D392A"/>
    <w:rsid w:val="001D3FB2"/>
    <w:rsid w:val="001D48AE"/>
    <w:rsid w:val="001D5295"/>
    <w:rsid w:val="001D6DFA"/>
    <w:rsid w:val="001D7574"/>
    <w:rsid w:val="001D77B1"/>
    <w:rsid w:val="001D7D7B"/>
    <w:rsid w:val="001E01CC"/>
    <w:rsid w:val="001E0782"/>
    <w:rsid w:val="001E12B6"/>
    <w:rsid w:val="001E37EF"/>
    <w:rsid w:val="001E38F3"/>
    <w:rsid w:val="001E439A"/>
    <w:rsid w:val="001E582D"/>
    <w:rsid w:val="001E58CD"/>
    <w:rsid w:val="001E67C8"/>
    <w:rsid w:val="001E7395"/>
    <w:rsid w:val="001E744D"/>
    <w:rsid w:val="001E7877"/>
    <w:rsid w:val="001F1057"/>
    <w:rsid w:val="001F25F7"/>
    <w:rsid w:val="001F323A"/>
    <w:rsid w:val="001F4384"/>
    <w:rsid w:val="001F48F2"/>
    <w:rsid w:val="001F5018"/>
    <w:rsid w:val="001F5CEC"/>
    <w:rsid w:val="001F794E"/>
    <w:rsid w:val="00200E5A"/>
    <w:rsid w:val="002016F6"/>
    <w:rsid w:val="00204E36"/>
    <w:rsid w:val="002050D0"/>
    <w:rsid w:val="002052C0"/>
    <w:rsid w:val="002052D6"/>
    <w:rsid w:val="0021226E"/>
    <w:rsid w:val="0021458D"/>
    <w:rsid w:val="00214BA5"/>
    <w:rsid w:val="00215A3D"/>
    <w:rsid w:val="00216810"/>
    <w:rsid w:val="002172EC"/>
    <w:rsid w:val="00217708"/>
    <w:rsid w:val="00217B80"/>
    <w:rsid w:val="002212E3"/>
    <w:rsid w:val="00221F92"/>
    <w:rsid w:val="00222A7A"/>
    <w:rsid w:val="002235EA"/>
    <w:rsid w:val="00223829"/>
    <w:rsid w:val="0022459F"/>
    <w:rsid w:val="00224698"/>
    <w:rsid w:val="00225144"/>
    <w:rsid w:val="00225AED"/>
    <w:rsid w:val="002260F2"/>
    <w:rsid w:val="00227ED0"/>
    <w:rsid w:val="00230808"/>
    <w:rsid w:val="0023110E"/>
    <w:rsid w:val="00231EAA"/>
    <w:rsid w:val="00232227"/>
    <w:rsid w:val="00234CED"/>
    <w:rsid w:val="00235032"/>
    <w:rsid w:val="00240276"/>
    <w:rsid w:val="00240381"/>
    <w:rsid w:val="00240536"/>
    <w:rsid w:val="002415CE"/>
    <w:rsid w:val="0024305B"/>
    <w:rsid w:val="00243C49"/>
    <w:rsid w:val="00244B15"/>
    <w:rsid w:val="00244C46"/>
    <w:rsid w:val="00245210"/>
    <w:rsid w:val="00246F81"/>
    <w:rsid w:val="002477DE"/>
    <w:rsid w:val="00247B1B"/>
    <w:rsid w:val="002508B4"/>
    <w:rsid w:val="00250BD7"/>
    <w:rsid w:val="00251A72"/>
    <w:rsid w:val="00252566"/>
    <w:rsid w:val="00253764"/>
    <w:rsid w:val="00253DCF"/>
    <w:rsid w:val="0025417F"/>
    <w:rsid w:val="00255A1A"/>
    <w:rsid w:val="00256A35"/>
    <w:rsid w:val="00256C44"/>
    <w:rsid w:val="0025701C"/>
    <w:rsid w:val="002570EB"/>
    <w:rsid w:val="00261092"/>
    <w:rsid w:val="00261366"/>
    <w:rsid w:val="00261890"/>
    <w:rsid w:val="00261A6C"/>
    <w:rsid w:val="00262224"/>
    <w:rsid w:val="00262240"/>
    <w:rsid w:val="00262F45"/>
    <w:rsid w:val="002642E8"/>
    <w:rsid w:val="00266378"/>
    <w:rsid w:val="002673F8"/>
    <w:rsid w:val="0027047D"/>
    <w:rsid w:val="00270669"/>
    <w:rsid w:val="00271371"/>
    <w:rsid w:val="00272961"/>
    <w:rsid w:val="00272A24"/>
    <w:rsid w:val="00273BA4"/>
    <w:rsid w:val="0027406C"/>
    <w:rsid w:val="00274215"/>
    <w:rsid w:val="00275CDE"/>
    <w:rsid w:val="00276C62"/>
    <w:rsid w:val="00276EBA"/>
    <w:rsid w:val="00277BA0"/>
    <w:rsid w:val="00280508"/>
    <w:rsid w:val="00280F85"/>
    <w:rsid w:val="002819FE"/>
    <w:rsid w:val="0028232B"/>
    <w:rsid w:val="00282870"/>
    <w:rsid w:val="00282C0C"/>
    <w:rsid w:val="002836B7"/>
    <w:rsid w:val="00283D02"/>
    <w:rsid w:val="00285812"/>
    <w:rsid w:val="002862D6"/>
    <w:rsid w:val="0028662D"/>
    <w:rsid w:val="00287327"/>
    <w:rsid w:val="002877C5"/>
    <w:rsid w:val="0028789B"/>
    <w:rsid w:val="00290D85"/>
    <w:rsid w:val="00291AFD"/>
    <w:rsid w:val="002936E6"/>
    <w:rsid w:val="00294761"/>
    <w:rsid w:val="00294780"/>
    <w:rsid w:val="00295864"/>
    <w:rsid w:val="00295DF9"/>
    <w:rsid w:val="00297763"/>
    <w:rsid w:val="0029791A"/>
    <w:rsid w:val="002A012F"/>
    <w:rsid w:val="002A047C"/>
    <w:rsid w:val="002A06A5"/>
    <w:rsid w:val="002A0EBD"/>
    <w:rsid w:val="002A3CC7"/>
    <w:rsid w:val="002A3EFB"/>
    <w:rsid w:val="002B1BFF"/>
    <w:rsid w:val="002B396D"/>
    <w:rsid w:val="002B3BA0"/>
    <w:rsid w:val="002B43E8"/>
    <w:rsid w:val="002B4965"/>
    <w:rsid w:val="002B4A8E"/>
    <w:rsid w:val="002B5107"/>
    <w:rsid w:val="002B6A52"/>
    <w:rsid w:val="002C0AB0"/>
    <w:rsid w:val="002C12B0"/>
    <w:rsid w:val="002C2937"/>
    <w:rsid w:val="002C4C7B"/>
    <w:rsid w:val="002C5DA9"/>
    <w:rsid w:val="002C7ADD"/>
    <w:rsid w:val="002C7C77"/>
    <w:rsid w:val="002D0C42"/>
    <w:rsid w:val="002D1486"/>
    <w:rsid w:val="002D1C1F"/>
    <w:rsid w:val="002D2078"/>
    <w:rsid w:val="002D2C8F"/>
    <w:rsid w:val="002D2D06"/>
    <w:rsid w:val="002D3194"/>
    <w:rsid w:val="002D35DB"/>
    <w:rsid w:val="002D3746"/>
    <w:rsid w:val="002D48C7"/>
    <w:rsid w:val="002D5693"/>
    <w:rsid w:val="002D6465"/>
    <w:rsid w:val="002D68A4"/>
    <w:rsid w:val="002D6DBD"/>
    <w:rsid w:val="002E012B"/>
    <w:rsid w:val="002E0176"/>
    <w:rsid w:val="002E0DC2"/>
    <w:rsid w:val="002E0FD9"/>
    <w:rsid w:val="002E1AB4"/>
    <w:rsid w:val="002E2013"/>
    <w:rsid w:val="002E318D"/>
    <w:rsid w:val="002E34D2"/>
    <w:rsid w:val="002E4777"/>
    <w:rsid w:val="002E498D"/>
    <w:rsid w:val="002E4D8D"/>
    <w:rsid w:val="002E5328"/>
    <w:rsid w:val="002E55B8"/>
    <w:rsid w:val="002E6952"/>
    <w:rsid w:val="002E7D23"/>
    <w:rsid w:val="002F04EF"/>
    <w:rsid w:val="002F172A"/>
    <w:rsid w:val="002F29F3"/>
    <w:rsid w:val="002F3AC1"/>
    <w:rsid w:val="002F4327"/>
    <w:rsid w:val="002F4E48"/>
    <w:rsid w:val="002F5A21"/>
    <w:rsid w:val="002F66A2"/>
    <w:rsid w:val="002F6F29"/>
    <w:rsid w:val="002F7407"/>
    <w:rsid w:val="002F7B2F"/>
    <w:rsid w:val="002F7F7C"/>
    <w:rsid w:val="003007C3"/>
    <w:rsid w:val="003008E4"/>
    <w:rsid w:val="00302245"/>
    <w:rsid w:val="00302337"/>
    <w:rsid w:val="003045F3"/>
    <w:rsid w:val="0030532B"/>
    <w:rsid w:val="0030573F"/>
    <w:rsid w:val="003103A1"/>
    <w:rsid w:val="00311909"/>
    <w:rsid w:val="0031248E"/>
    <w:rsid w:val="00315406"/>
    <w:rsid w:val="00315434"/>
    <w:rsid w:val="00316A31"/>
    <w:rsid w:val="0031745F"/>
    <w:rsid w:val="00317A1E"/>
    <w:rsid w:val="00317A9D"/>
    <w:rsid w:val="00320551"/>
    <w:rsid w:val="003218A8"/>
    <w:rsid w:val="003225AF"/>
    <w:rsid w:val="00322E1C"/>
    <w:rsid w:val="00323B08"/>
    <w:rsid w:val="00323B15"/>
    <w:rsid w:val="00324295"/>
    <w:rsid w:val="00324FAF"/>
    <w:rsid w:val="00325598"/>
    <w:rsid w:val="00325CC3"/>
    <w:rsid w:val="00326452"/>
    <w:rsid w:val="003278F0"/>
    <w:rsid w:val="00327A71"/>
    <w:rsid w:val="003318E9"/>
    <w:rsid w:val="00331F23"/>
    <w:rsid w:val="00332486"/>
    <w:rsid w:val="003324C2"/>
    <w:rsid w:val="00332C38"/>
    <w:rsid w:val="00333664"/>
    <w:rsid w:val="00333E35"/>
    <w:rsid w:val="0033405E"/>
    <w:rsid w:val="00334BED"/>
    <w:rsid w:val="00337A5F"/>
    <w:rsid w:val="00337FA3"/>
    <w:rsid w:val="00340484"/>
    <w:rsid w:val="003408B3"/>
    <w:rsid w:val="00341581"/>
    <w:rsid w:val="00341B4D"/>
    <w:rsid w:val="00341F2D"/>
    <w:rsid w:val="00342A91"/>
    <w:rsid w:val="00342D3A"/>
    <w:rsid w:val="00342FB7"/>
    <w:rsid w:val="00344D07"/>
    <w:rsid w:val="003452A4"/>
    <w:rsid w:val="00345A17"/>
    <w:rsid w:val="00345D10"/>
    <w:rsid w:val="00346CF0"/>
    <w:rsid w:val="0034769B"/>
    <w:rsid w:val="00350F95"/>
    <w:rsid w:val="00351A5B"/>
    <w:rsid w:val="00353969"/>
    <w:rsid w:val="00354B37"/>
    <w:rsid w:val="00354E7F"/>
    <w:rsid w:val="003552E2"/>
    <w:rsid w:val="00357272"/>
    <w:rsid w:val="00357771"/>
    <w:rsid w:val="003607AF"/>
    <w:rsid w:val="003619A4"/>
    <w:rsid w:val="00361CCF"/>
    <w:rsid w:val="00362E31"/>
    <w:rsid w:val="00365242"/>
    <w:rsid w:val="00365DD0"/>
    <w:rsid w:val="003672A6"/>
    <w:rsid w:val="003675A6"/>
    <w:rsid w:val="00367A45"/>
    <w:rsid w:val="00367B2C"/>
    <w:rsid w:val="0037110B"/>
    <w:rsid w:val="00371178"/>
    <w:rsid w:val="003713A9"/>
    <w:rsid w:val="00372E83"/>
    <w:rsid w:val="00373408"/>
    <w:rsid w:val="0037468B"/>
    <w:rsid w:val="003777AE"/>
    <w:rsid w:val="003800D5"/>
    <w:rsid w:val="003823D5"/>
    <w:rsid w:val="00382BC7"/>
    <w:rsid w:val="0038378B"/>
    <w:rsid w:val="00383C8A"/>
    <w:rsid w:val="00385111"/>
    <w:rsid w:val="00385642"/>
    <w:rsid w:val="00385989"/>
    <w:rsid w:val="0038617F"/>
    <w:rsid w:val="00386DD5"/>
    <w:rsid w:val="0038701C"/>
    <w:rsid w:val="00391096"/>
    <w:rsid w:val="00391254"/>
    <w:rsid w:val="00391299"/>
    <w:rsid w:val="003927DA"/>
    <w:rsid w:val="003928FE"/>
    <w:rsid w:val="003935E9"/>
    <w:rsid w:val="00393685"/>
    <w:rsid w:val="003950D3"/>
    <w:rsid w:val="00395E85"/>
    <w:rsid w:val="003972EE"/>
    <w:rsid w:val="00397347"/>
    <w:rsid w:val="00397E82"/>
    <w:rsid w:val="003A3058"/>
    <w:rsid w:val="003A4437"/>
    <w:rsid w:val="003A4AB5"/>
    <w:rsid w:val="003A4F0B"/>
    <w:rsid w:val="003A4F9F"/>
    <w:rsid w:val="003A58B5"/>
    <w:rsid w:val="003A5BD1"/>
    <w:rsid w:val="003A674F"/>
    <w:rsid w:val="003A733F"/>
    <w:rsid w:val="003A788F"/>
    <w:rsid w:val="003A7A8F"/>
    <w:rsid w:val="003B0428"/>
    <w:rsid w:val="003B0928"/>
    <w:rsid w:val="003B098E"/>
    <w:rsid w:val="003B1065"/>
    <w:rsid w:val="003B255F"/>
    <w:rsid w:val="003B2977"/>
    <w:rsid w:val="003B2F68"/>
    <w:rsid w:val="003B3F27"/>
    <w:rsid w:val="003B499C"/>
    <w:rsid w:val="003B4ED0"/>
    <w:rsid w:val="003B59F6"/>
    <w:rsid w:val="003B6635"/>
    <w:rsid w:val="003B7757"/>
    <w:rsid w:val="003C0146"/>
    <w:rsid w:val="003C0B0D"/>
    <w:rsid w:val="003C276B"/>
    <w:rsid w:val="003C3705"/>
    <w:rsid w:val="003C38BD"/>
    <w:rsid w:val="003C3FB3"/>
    <w:rsid w:val="003C6149"/>
    <w:rsid w:val="003C6E38"/>
    <w:rsid w:val="003D19BF"/>
    <w:rsid w:val="003D49B5"/>
    <w:rsid w:val="003D4C19"/>
    <w:rsid w:val="003D7357"/>
    <w:rsid w:val="003D7653"/>
    <w:rsid w:val="003D7768"/>
    <w:rsid w:val="003D7AD9"/>
    <w:rsid w:val="003D7B53"/>
    <w:rsid w:val="003E18FD"/>
    <w:rsid w:val="003E2224"/>
    <w:rsid w:val="003E3490"/>
    <w:rsid w:val="003E38F2"/>
    <w:rsid w:val="003E40C2"/>
    <w:rsid w:val="003E5329"/>
    <w:rsid w:val="003E73C9"/>
    <w:rsid w:val="003F08E5"/>
    <w:rsid w:val="003F08E8"/>
    <w:rsid w:val="003F1A07"/>
    <w:rsid w:val="003F2F06"/>
    <w:rsid w:val="003F2F77"/>
    <w:rsid w:val="003F3435"/>
    <w:rsid w:val="003F3D66"/>
    <w:rsid w:val="003F51C4"/>
    <w:rsid w:val="003F69D4"/>
    <w:rsid w:val="003F79F7"/>
    <w:rsid w:val="003F7D6A"/>
    <w:rsid w:val="003F7EF1"/>
    <w:rsid w:val="004010C9"/>
    <w:rsid w:val="00401C08"/>
    <w:rsid w:val="00402A67"/>
    <w:rsid w:val="00402B7D"/>
    <w:rsid w:val="00402C99"/>
    <w:rsid w:val="00403471"/>
    <w:rsid w:val="00403A7F"/>
    <w:rsid w:val="00403DDF"/>
    <w:rsid w:val="0040457D"/>
    <w:rsid w:val="0040484D"/>
    <w:rsid w:val="00404C09"/>
    <w:rsid w:val="00404D18"/>
    <w:rsid w:val="00405CD3"/>
    <w:rsid w:val="0040601A"/>
    <w:rsid w:val="00407933"/>
    <w:rsid w:val="00410C73"/>
    <w:rsid w:val="0041131E"/>
    <w:rsid w:val="004114A9"/>
    <w:rsid w:val="00413A42"/>
    <w:rsid w:val="0041472B"/>
    <w:rsid w:val="00415064"/>
    <w:rsid w:val="0041620F"/>
    <w:rsid w:val="00416E7D"/>
    <w:rsid w:val="004172F3"/>
    <w:rsid w:val="004200A9"/>
    <w:rsid w:val="00420DED"/>
    <w:rsid w:val="00420E63"/>
    <w:rsid w:val="00420E87"/>
    <w:rsid w:val="00420F04"/>
    <w:rsid w:val="00422983"/>
    <w:rsid w:val="004232EB"/>
    <w:rsid w:val="004236DE"/>
    <w:rsid w:val="004246B1"/>
    <w:rsid w:val="00425258"/>
    <w:rsid w:val="00425A75"/>
    <w:rsid w:val="004273F0"/>
    <w:rsid w:val="0042744C"/>
    <w:rsid w:val="004278C5"/>
    <w:rsid w:val="00430296"/>
    <w:rsid w:val="0043065B"/>
    <w:rsid w:val="004307E4"/>
    <w:rsid w:val="0043094C"/>
    <w:rsid w:val="00431594"/>
    <w:rsid w:val="004315D1"/>
    <w:rsid w:val="0043190B"/>
    <w:rsid w:val="00432CB2"/>
    <w:rsid w:val="00432D70"/>
    <w:rsid w:val="0043383A"/>
    <w:rsid w:val="00433956"/>
    <w:rsid w:val="00435041"/>
    <w:rsid w:val="00435910"/>
    <w:rsid w:val="00435AFE"/>
    <w:rsid w:val="00435B06"/>
    <w:rsid w:val="004364EB"/>
    <w:rsid w:val="004366CD"/>
    <w:rsid w:val="00436D55"/>
    <w:rsid w:val="0044015F"/>
    <w:rsid w:val="004403B6"/>
    <w:rsid w:val="0044104C"/>
    <w:rsid w:val="004410AF"/>
    <w:rsid w:val="0044208A"/>
    <w:rsid w:val="00442B46"/>
    <w:rsid w:val="00443663"/>
    <w:rsid w:val="00446AC9"/>
    <w:rsid w:val="00446C05"/>
    <w:rsid w:val="004479B8"/>
    <w:rsid w:val="00450400"/>
    <w:rsid w:val="0045059F"/>
    <w:rsid w:val="004508A5"/>
    <w:rsid w:val="00450F4E"/>
    <w:rsid w:val="00453314"/>
    <w:rsid w:val="00454454"/>
    <w:rsid w:val="00454652"/>
    <w:rsid w:val="00455A03"/>
    <w:rsid w:val="00455D6E"/>
    <w:rsid w:val="00455E85"/>
    <w:rsid w:val="00457DD2"/>
    <w:rsid w:val="00460638"/>
    <w:rsid w:val="0046090E"/>
    <w:rsid w:val="00460E58"/>
    <w:rsid w:val="00462F78"/>
    <w:rsid w:val="004632B5"/>
    <w:rsid w:val="00464809"/>
    <w:rsid w:val="00465D3F"/>
    <w:rsid w:val="004663F7"/>
    <w:rsid w:val="00466427"/>
    <w:rsid w:val="00466E1B"/>
    <w:rsid w:val="00470D76"/>
    <w:rsid w:val="00470E92"/>
    <w:rsid w:val="00471DA4"/>
    <w:rsid w:val="00472325"/>
    <w:rsid w:val="0047309A"/>
    <w:rsid w:val="0047321B"/>
    <w:rsid w:val="00473E3C"/>
    <w:rsid w:val="004743B1"/>
    <w:rsid w:val="00474F04"/>
    <w:rsid w:val="00475259"/>
    <w:rsid w:val="004758D3"/>
    <w:rsid w:val="00476C29"/>
    <w:rsid w:val="004808F6"/>
    <w:rsid w:val="004822BA"/>
    <w:rsid w:val="00482414"/>
    <w:rsid w:val="0048333F"/>
    <w:rsid w:val="00484282"/>
    <w:rsid w:val="0048430E"/>
    <w:rsid w:val="004843F0"/>
    <w:rsid w:val="00484670"/>
    <w:rsid w:val="004846C2"/>
    <w:rsid w:val="004852F2"/>
    <w:rsid w:val="004856C2"/>
    <w:rsid w:val="004856E0"/>
    <w:rsid w:val="00486B8C"/>
    <w:rsid w:val="00487189"/>
    <w:rsid w:val="004871F7"/>
    <w:rsid w:val="00487551"/>
    <w:rsid w:val="004879F2"/>
    <w:rsid w:val="004902B6"/>
    <w:rsid w:val="004910D5"/>
    <w:rsid w:val="00491291"/>
    <w:rsid w:val="00491CED"/>
    <w:rsid w:val="004921AC"/>
    <w:rsid w:val="00492339"/>
    <w:rsid w:val="004924E5"/>
    <w:rsid w:val="00493591"/>
    <w:rsid w:val="00494CF4"/>
    <w:rsid w:val="00494EE1"/>
    <w:rsid w:val="004957AB"/>
    <w:rsid w:val="00495AE8"/>
    <w:rsid w:val="00495B35"/>
    <w:rsid w:val="00495D37"/>
    <w:rsid w:val="004A0F85"/>
    <w:rsid w:val="004A1434"/>
    <w:rsid w:val="004A1983"/>
    <w:rsid w:val="004A1B67"/>
    <w:rsid w:val="004A1D27"/>
    <w:rsid w:val="004A2ABA"/>
    <w:rsid w:val="004A2AD7"/>
    <w:rsid w:val="004A2FB6"/>
    <w:rsid w:val="004A380C"/>
    <w:rsid w:val="004A3DFD"/>
    <w:rsid w:val="004A5393"/>
    <w:rsid w:val="004A58D2"/>
    <w:rsid w:val="004A6A63"/>
    <w:rsid w:val="004A758A"/>
    <w:rsid w:val="004A7892"/>
    <w:rsid w:val="004B0362"/>
    <w:rsid w:val="004B0C14"/>
    <w:rsid w:val="004B19BD"/>
    <w:rsid w:val="004B2138"/>
    <w:rsid w:val="004B224E"/>
    <w:rsid w:val="004B2682"/>
    <w:rsid w:val="004B3943"/>
    <w:rsid w:val="004B3D28"/>
    <w:rsid w:val="004B4605"/>
    <w:rsid w:val="004B4840"/>
    <w:rsid w:val="004B53CB"/>
    <w:rsid w:val="004B6354"/>
    <w:rsid w:val="004B7986"/>
    <w:rsid w:val="004C0440"/>
    <w:rsid w:val="004C0F1C"/>
    <w:rsid w:val="004C1C4E"/>
    <w:rsid w:val="004C1EBD"/>
    <w:rsid w:val="004C2477"/>
    <w:rsid w:val="004C2911"/>
    <w:rsid w:val="004C4972"/>
    <w:rsid w:val="004C61D0"/>
    <w:rsid w:val="004C625B"/>
    <w:rsid w:val="004C6956"/>
    <w:rsid w:val="004D0228"/>
    <w:rsid w:val="004D022D"/>
    <w:rsid w:val="004D1A08"/>
    <w:rsid w:val="004D1E00"/>
    <w:rsid w:val="004D25CD"/>
    <w:rsid w:val="004D35FE"/>
    <w:rsid w:val="004D3722"/>
    <w:rsid w:val="004D3BD7"/>
    <w:rsid w:val="004D5C4F"/>
    <w:rsid w:val="004D61A2"/>
    <w:rsid w:val="004D659E"/>
    <w:rsid w:val="004D67A8"/>
    <w:rsid w:val="004D7640"/>
    <w:rsid w:val="004D7A27"/>
    <w:rsid w:val="004D7F15"/>
    <w:rsid w:val="004E0E5D"/>
    <w:rsid w:val="004E0FED"/>
    <w:rsid w:val="004E1314"/>
    <w:rsid w:val="004E1D41"/>
    <w:rsid w:val="004E26FF"/>
    <w:rsid w:val="004E2FFF"/>
    <w:rsid w:val="004E41E4"/>
    <w:rsid w:val="004E4D47"/>
    <w:rsid w:val="004E5945"/>
    <w:rsid w:val="004E672F"/>
    <w:rsid w:val="004E6AB6"/>
    <w:rsid w:val="004F0823"/>
    <w:rsid w:val="004F37DB"/>
    <w:rsid w:val="004F3E42"/>
    <w:rsid w:val="004F4C51"/>
    <w:rsid w:val="004F5429"/>
    <w:rsid w:val="004F58CB"/>
    <w:rsid w:val="00501739"/>
    <w:rsid w:val="00502AFD"/>
    <w:rsid w:val="00503915"/>
    <w:rsid w:val="005045CE"/>
    <w:rsid w:val="00505475"/>
    <w:rsid w:val="005058DA"/>
    <w:rsid w:val="00510CDF"/>
    <w:rsid w:val="00511556"/>
    <w:rsid w:val="005116C3"/>
    <w:rsid w:val="00511D7B"/>
    <w:rsid w:val="00511E38"/>
    <w:rsid w:val="00514079"/>
    <w:rsid w:val="0051454B"/>
    <w:rsid w:val="00515624"/>
    <w:rsid w:val="00516428"/>
    <w:rsid w:val="00516C72"/>
    <w:rsid w:val="00516DBD"/>
    <w:rsid w:val="00516E74"/>
    <w:rsid w:val="005200AA"/>
    <w:rsid w:val="00521683"/>
    <w:rsid w:val="0052255E"/>
    <w:rsid w:val="005228FF"/>
    <w:rsid w:val="00522A00"/>
    <w:rsid w:val="00522BC8"/>
    <w:rsid w:val="00522E1A"/>
    <w:rsid w:val="00523A18"/>
    <w:rsid w:val="00524064"/>
    <w:rsid w:val="00524BD1"/>
    <w:rsid w:val="00524C3B"/>
    <w:rsid w:val="00524ED8"/>
    <w:rsid w:val="005257A6"/>
    <w:rsid w:val="00525EC3"/>
    <w:rsid w:val="0052746C"/>
    <w:rsid w:val="005274C7"/>
    <w:rsid w:val="005277EE"/>
    <w:rsid w:val="005300F0"/>
    <w:rsid w:val="005302F0"/>
    <w:rsid w:val="005326E3"/>
    <w:rsid w:val="0053290D"/>
    <w:rsid w:val="00535663"/>
    <w:rsid w:val="00535FA3"/>
    <w:rsid w:val="0053697F"/>
    <w:rsid w:val="00540AB2"/>
    <w:rsid w:val="005423F4"/>
    <w:rsid w:val="00542520"/>
    <w:rsid w:val="005427DA"/>
    <w:rsid w:val="0054307F"/>
    <w:rsid w:val="00543372"/>
    <w:rsid w:val="005436FF"/>
    <w:rsid w:val="0054395B"/>
    <w:rsid w:val="00543D90"/>
    <w:rsid w:val="00543DA3"/>
    <w:rsid w:val="00544AD3"/>
    <w:rsid w:val="00544FBA"/>
    <w:rsid w:val="00545D23"/>
    <w:rsid w:val="00545D89"/>
    <w:rsid w:val="00545DD9"/>
    <w:rsid w:val="00546961"/>
    <w:rsid w:val="00546E49"/>
    <w:rsid w:val="00547333"/>
    <w:rsid w:val="00547786"/>
    <w:rsid w:val="0055156A"/>
    <w:rsid w:val="00551951"/>
    <w:rsid w:val="00551DE6"/>
    <w:rsid w:val="00553427"/>
    <w:rsid w:val="0055342D"/>
    <w:rsid w:val="005535B0"/>
    <w:rsid w:val="00554122"/>
    <w:rsid w:val="00555452"/>
    <w:rsid w:val="00555BDC"/>
    <w:rsid w:val="00555C1F"/>
    <w:rsid w:val="00555F82"/>
    <w:rsid w:val="00556ECD"/>
    <w:rsid w:val="0055767B"/>
    <w:rsid w:val="005612A2"/>
    <w:rsid w:val="0056186E"/>
    <w:rsid w:val="00562BB7"/>
    <w:rsid w:val="00563115"/>
    <w:rsid w:val="005635E6"/>
    <w:rsid w:val="00563E63"/>
    <w:rsid w:val="00566684"/>
    <w:rsid w:val="005666A1"/>
    <w:rsid w:val="005667C6"/>
    <w:rsid w:val="00567365"/>
    <w:rsid w:val="005677C8"/>
    <w:rsid w:val="0057088A"/>
    <w:rsid w:val="00571148"/>
    <w:rsid w:val="00571788"/>
    <w:rsid w:val="00573CF3"/>
    <w:rsid w:val="005744BB"/>
    <w:rsid w:val="005746FA"/>
    <w:rsid w:val="00575AAC"/>
    <w:rsid w:val="005770B2"/>
    <w:rsid w:val="005772B5"/>
    <w:rsid w:val="00577B21"/>
    <w:rsid w:val="005822C0"/>
    <w:rsid w:val="00582319"/>
    <w:rsid w:val="0058290D"/>
    <w:rsid w:val="00582CB3"/>
    <w:rsid w:val="00584F01"/>
    <w:rsid w:val="005858A2"/>
    <w:rsid w:val="0058688D"/>
    <w:rsid w:val="00586C5F"/>
    <w:rsid w:val="00587140"/>
    <w:rsid w:val="0059221A"/>
    <w:rsid w:val="005937A8"/>
    <w:rsid w:val="00594257"/>
    <w:rsid w:val="00594DC9"/>
    <w:rsid w:val="00594DCB"/>
    <w:rsid w:val="00596AEC"/>
    <w:rsid w:val="005970D5"/>
    <w:rsid w:val="0059712B"/>
    <w:rsid w:val="00597578"/>
    <w:rsid w:val="00597B87"/>
    <w:rsid w:val="005A21EC"/>
    <w:rsid w:val="005A23D0"/>
    <w:rsid w:val="005A2A65"/>
    <w:rsid w:val="005A32F4"/>
    <w:rsid w:val="005A3DAD"/>
    <w:rsid w:val="005A4394"/>
    <w:rsid w:val="005A4B0B"/>
    <w:rsid w:val="005A5D1E"/>
    <w:rsid w:val="005A602E"/>
    <w:rsid w:val="005A761A"/>
    <w:rsid w:val="005A7772"/>
    <w:rsid w:val="005B0798"/>
    <w:rsid w:val="005B0E00"/>
    <w:rsid w:val="005B0F65"/>
    <w:rsid w:val="005B0F6B"/>
    <w:rsid w:val="005B123B"/>
    <w:rsid w:val="005B1601"/>
    <w:rsid w:val="005B187A"/>
    <w:rsid w:val="005B2AF6"/>
    <w:rsid w:val="005B518A"/>
    <w:rsid w:val="005B6971"/>
    <w:rsid w:val="005B6DB8"/>
    <w:rsid w:val="005B7C7E"/>
    <w:rsid w:val="005C08F3"/>
    <w:rsid w:val="005C1817"/>
    <w:rsid w:val="005C19A1"/>
    <w:rsid w:val="005C1D35"/>
    <w:rsid w:val="005C37CC"/>
    <w:rsid w:val="005C4FB0"/>
    <w:rsid w:val="005C6C3A"/>
    <w:rsid w:val="005C765A"/>
    <w:rsid w:val="005C76FA"/>
    <w:rsid w:val="005D01A8"/>
    <w:rsid w:val="005D037D"/>
    <w:rsid w:val="005D1423"/>
    <w:rsid w:val="005D233C"/>
    <w:rsid w:val="005D29E6"/>
    <w:rsid w:val="005D6113"/>
    <w:rsid w:val="005D66AC"/>
    <w:rsid w:val="005D68BA"/>
    <w:rsid w:val="005D75D9"/>
    <w:rsid w:val="005D7DA4"/>
    <w:rsid w:val="005E016D"/>
    <w:rsid w:val="005E04F5"/>
    <w:rsid w:val="005E0640"/>
    <w:rsid w:val="005E2044"/>
    <w:rsid w:val="005E37FD"/>
    <w:rsid w:val="005E3E0B"/>
    <w:rsid w:val="005E56AC"/>
    <w:rsid w:val="005F1A73"/>
    <w:rsid w:val="005F1E98"/>
    <w:rsid w:val="005F2295"/>
    <w:rsid w:val="005F3799"/>
    <w:rsid w:val="005F3A69"/>
    <w:rsid w:val="005F4212"/>
    <w:rsid w:val="005F4ED6"/>
    <w:rsid w:val="005F597E"/>
    <w:rsid w:val="005F6407"/>
    <w:rsid w:val="005F70FA"/>
    <w:rsid w:val="005F77EC"/>
    <w:rsid w:val="005F7942"/>
    <w:rsid w:val="005F7F1E"/>
    <w:rsid w:val="00602286"/>
    <w:rsid w:val="0060308E"/>
    <w:rsid w:val="0060311D"/>
    <w:rsid w:val="006035C2"/>
    <w:rsid w:val="006037F4"/>
    <w:rsid w:val="006045BE"/>
    <w:rsid w:val="006045E5"/>
    <w:rsid w:val="006046B0"/>
    <w:rsid w:val="006046E8"/>
    <w:rsid w:val="006048BE"/>
    <w:rsid w:val="006049C8"/>
    <w:rsid w:val="006057FB"/>
    <w:rsid w:val="00605C3A"/>
    <w:rsid w:val="0060635E"/>
    <w:rsid w:val="00606830"/>
    <w:rsid w:val="00606914"/>
    <w:rsid w:val="00606E45"/>
    <w:rsid w:val="006078B0"/>
    <w:rsid w:val="00610E81"/>
    <w:rsid w:val="0061225A"/>
    <w:rsid w:val="00612449"/>
    <w:rsid w:val="006161B3"/>
    <w:rsid w:val="0061657B"/>
    <w:rsid w:val="006167F5"/>
    <w:rsid w:val="0061684F"/>
    <w:rsid w:val="006172EB"/>
    <w:rsid w:val="006175BE"/>
    <w:rsid w:val="006200C9"/>
    <w:rsid w:val="006217FE"/>
    <w:rsid w:val="00621AA8"/>
    <w:rsid w:val="00621C4E"/>
    <w:rsid w:val="00621EA3"/>
    <w:rsid w:val="00622116"/>
    <w:rsid w:val="006222DD"/>
    <w:rsid w:val="0062329E"/>
    <w:rsid w:val="00623C76"/>
    <w:rsid w:val="00624577"/>
    <w:rsid w:val="00625DD9"/>
    <w:rsid w:val="006278A0"/>
    <w:rsid w:val="0063012C"/>
    <w:rsid w:val="00631945"/>
    <w:rsid w:val="00632E92"/>
    <w:rsid w:val="00634887"/>
    <w:rsid w:val="00636219"/>
    <w:rsid w:val="006364E1"/>
    <w:rsid w:val="006366C4"/>
    <w:rsid w:val="006375F0"/>
    <w:rsid w:val="00640F90"/>
    <w:rsid w:val="00643092"/>
    <w:rsid w:val="00643709"/>
    <w:rsid w:val="00643E3E"/>
    <w:rsid w:val="006466A1"/>
    <w:rsid w:val="00646D57"/>
    <w:rsid w:val="0064769D"/>
    <w:rsid w:val="006500AA"/>
    <w:rsid w:val="0065093F"/>
    <w:rsid w:val="00651146"/>
    <w:rsid w:val="0065370C"/>
    <w:rsid w:val="00654074"/>
    <w:rsid w:val="00655090"/>
    <w:rsid w:val="006569E3"/>
    <w:rsid w:val="006572B3"/>
    <w:rsid w:val="00657A8D"/>
    <w:rsid w:val="00657B0A"/>
    <w:rsid w:val="006614F7"/>
    <w:rsid w:val="00662A23"/>
    <w:rsid w:val="00662F99"/>
    <w:rsid w:val="00662FCB"/>
    <w:rsid w:val="00663B0D"/>
    <w:rsid w:val="00663E94"/>
    <w:rsid w:val="00664635"/>
    <w:rsid w:val="0066493D"/>
    <w:rsid w:val="00665434"/>
    <w:rsid w:val="00666F75"/>
    <w:rsid w:val="006678D0"/>
    <w:rsid w:val="00670119"/>
    <w:rsid w:val="006709A3"/>
    <w:rsid w:val="00672887"/>
    <w:rsid w:val="00672A15"/>
    <w:rsid w:val="006733E1"/>
    <w:rsid w:val="0067354D"/>
    <w:rsid w:val="00673F9B"/>
    <w:rsid w:val="00675D16"/>
    <w:rsid w:val="006760D5"/>
    <w:rsid w:val="006761C1"/>
    <w:rsid w:val="00676A75"/>
    <w:rsid w:val="00676CDE"/>
    <w:rsid w:val="00677935"/>
    <w:rsid w:val="0068105F"/>
    <w:rsid w:val="00681620"/>
    <w:rsid w:val="0068308F"/>
    <w:rsid w:val="006832F4"/>
    <w:rsid w:val="0068452A"/>
    <w:rsid w:val="006848D8"/>
    <w:rsid w:val="00684933"/>
    <w:rsid w:val="00685042"/>
    <w:rsid w:val="0068527B"/>
    <w:rsid w:val="00686EF7"/>
    <w:rsid w:val="0069085D"/>
    <w:rsid w:val="00690976"/>
    <w:rsid w:val="00690E0D"/>
    <w:rsid w:val="00692483"/>
    <w:rsid w:val="0069271F"/>
    <w:rsid w:val="00692C38"/>
    <w:rsid w:val="0069376A"/>
    <w:rsid w:val="00693C25"/>
    <w:rsid w:val="006947AD"/>
    <w:rsid w:val="006949FB"/>
    <w:rsid w:val="00695227"/>
    <w:rsid w:val="00695AD4"/>
    <w:rsid w:val="006A09D3"/>
    <w:rsid w:val="006A112A"/>
    <w:rsid w:val="006A330E"/>
    <w:rsid w:val="006A3A3D"/>
    <w:rsid w:val="006A467D"/>
    <w:rsid w:val="006A5B6A"/>
    <w:rsid w:val="006A618C"/>
    <w:rsid w:val="006A66F8"/>
    <w:rsid w:val="006B111B"/>
    <w:rsid w:val="006B1355"/>
    <w:rsid w:val="006B1DA9"/>
    <w:rsid w:val="006B1EB6"/>
    <w:rsid w:val="006B335B"/>
    <w:rsid w:val="006B429A"/>
    <w:rsid w:val="006B49E1"/>
    <w:rsid w:val="006B6E8A"/>
    <w:rsid w:val="006B7407"/>
    <w:rsid w:val="006B7F2A"/>
    <w:rsid w:val="006C028F"/>
    <w:rsid w:val="006C162F"/>
    <w:rsid w:val="006C1CE3"/>
    <w:rsid w:val="006C2162"/>
    <w:rsid w:val="006C2AD1"/>
    <w:rsid w:val="006C498C"/>
    <w:rsid w:val="006C570A"/>
    <w:rsid w:val="006C5BB7"/>
    <w:rsid w:val="006C6068"/>
    <w:rsid w:val="006C6998"/>
    <w:rsid w:val="006C6A24"/>
    <w:rsid w:val="006C74C6"/>
    <w:rsid w:val="006C7C8C"/>
    <w:rsid w:val="006C7D9F"/>
    <w:rsid w:val="006C7EA4"/>
    <w:rsid w:val="006D106F"/>
    <w:rsid w:val="006D1A1E"/>
    <w:rsid w:val="006D27D3"/>
    <w:rsid w:val="006D2EFA"/>
    <w:rsid w:val="006D4A55"/>
    <w:rsid w:val="006D51A6"/>
    <w:rsid w:val="006D66D3"/>
    <w:rsid w:val="006D6ECF"/>
    <w:rsid w:val="006E0953"/>
    <w:rsid w:val="006E0CDE"/>
    <w:rsid w:val="006E0D66"/>
    <w:rsid w:val="006E27A9"/>
    <w:rsid w:val="006E2892"/>
    <w:rsid w:val="006E2E6A"/>
    <w:rsid w:val="006E3A92"/>
    <w:rsid w:val="006E5EFD"/>
    <w:rsid w:val="006E61A9"/>
    <w:rsid w:val="006E6A7E"/>
    <w:rsid w:val="006E6F56"/>
    <w:rsid w:val="006F057B"/>
    <w:rsid w:val="006F076B"/>
    <w:rsid w:val="006F0DCD"/>
    <w:rsid w:val="006F1A64"/>
    <w:rsid w:val="006F1E0A"/>
    <w:rsid w:val="006F2AB2"/>
    <w:rsid w:val="006F3832"/>
    <w:rsid w:val="006F4A00"/>
    <w:rsid w:val="006F6976"/>
    <w:rsid w:val="006F74BF"/>
    <w:rsid w:val="006F7F36"/>
    <w:rsid w:val="007001DA"/>
    <w:rsid w:val="00700AD9"/>
    <w:rsid w:val="00702911"/>
    <w:rsid w:val="00703A05"/>
    <w:rsid w:val="00703A4D"/>
    <w:rsid w:val="007049BD"/>
    <w:rsid w:val="00705049"/>
    <w:rsid w:val="00707313"/>
    <w:rsid w:val="00711765"/>
    <w:rsid w:val="00711F61"/>
    <w:rsid w:val="007122BD"/>
    <w:rsid w:val="00712361"/>
    <w:rsid w:val="007139F8"/>
    <w:rsid w:val="00714CC8"/>
    <w:rsid w:val="0071649F"/>
    <w:rsid w:val="007164FD"/>
    <w:rsid w:val="007167FA"/>
    <w:rsid w:val="00716A03"/>
    <w:rsid w:val="00717855"/>
    <w:rsid w:val="007229D9"/>
    <w:rsid w:val="00722BD0"/>
    <w:rsid w:val="00722FA4"/>
    <w:rsid w:val="00723EC8"/>
    <w:rsid w:val="007254BF"/>
    <w:rsid w:val="00725B08"/>
    <w:rsid w:val="00725C59"/>
    <w:rsid w:val="00726743"/>
    <w:rsid w:val="00726C22"/>
    <w:rsid w:val="0072750D"/>
    <w:rsid w:val="00727932"/>
    <w:rsid w:val="00727BE4"/>
    <w:rsid w:val="00730BE3"/>
    <w:rsid w:val="007312A0"/>
    <w:rsid w:val="00731460"/>
    <w:rsid w:val="00731529"/>
    <w:rsid w:val="00731922"/>
    <w:rsid w:val="00732719"/>
    <w:rsid w:val="00732A94"/>
    <w:rsid w:val="00732ABF"/>
    <w:rsid w:val="00732B78"/>
    <w:rsid w:val="00733633"/>
    <w:rsid w:val="007339C0"/>
    <w:rsid w:val="00734EBB"/>
    <w:rsid w:val="00735103"/>
    <w:rsid w:val="00735D62"/>
    <w:rsid w:val="007361A3"/>
    <w:rsid w:val="00736275"/>
    <w:rsid w:val="00736DBC"/>
    <w:rsid w:val="00736E31"/>
    <w:rsid w:val="00741D33"/>
    <w:rsid w:val="00743819"/>
    <w:rsid w:val="00744633"/>
    <w:rsid w:val="00744DE3"/>
    <w:rsid w:val="0074545A"/>
    <w:rsid w:val="00745B97"/>
    <w:rsid w:val="00745CAD"/>
    <w:rsid w:val="0074602F"/>
    <w:rsid w:val="00746FC4"/>
    <w:rsid w:val="007474B8"/>
    <w:rsid w:val="00747E44"/>
    <w:rsid w:val="0075047A"/>
    <w:rsid w:val="0075049C"/>
    <w:rsid w:val="007508B5"/>
    <w:rsid w:val="00750A18"/>
    <w:rsid w:val="00752091"/>
    <w:rsid w:val="0075595E"/>
    <w:rsid w:val="00755A3C"/>
    <w:rsid w:val="007573AF"/>
    <w:rsid w:val="0076047E"/>
    <w:rsid w:val="0076261B"/>
    <w:rsid w:val="007656B2"/>
    <w:rsid w:val="00765857"/>
    <w:rsid w:val="00766323"/>
    <w:rsid w:val="007673DB"/>
    <w:rsid w:val="0076744C"/>
    <w:rsid w:val="00767AF5"/>
    <w:rsid w:val="0077092B"/>
    <w:rsid w:val="00770C51"/>
    <w:rsid w:val="007712B4"/>
    <w:rsid w:val="00771777"/>
    <w:rsid w:val="00771861"/>
    <w:rsid w:val="0077196A"/>
    <w:rsid w:val="007724E7"/>
    <w:rsid w:val="00772D50"/>
    <w:rsid w:val="007736FC"/>
    <w:rsid w:val="00774F56"/>
    <w:rsid w:val="0077626F"/>
    <w:rsid w:val="00777093"/>
    <w:rsid w:val="00777353"/>
    <w:rsid w:val="00777F6C"/>
    <w:rsid w:val="00781460"/>
    <w:rsid w:val="00781AB7"/>
    <w:rsid w:val="007824D8"/>
    <w:rsid w:val="00782E7D"/>
    <w:rsid w:val="00782FAD"/>
    <w:rsid w:val="00783214"/>
    <w:rsid w:val="0078322B"/>
    <w:rsid w:val="00783A2B"/>
    <w:rsid w:val="00784B86"/>
    <w:rsid w:val="007867FF"/>
    <w:rsid w:val="00786D11"/>
    <w:rsid w:val="0078734B"/>
    <w:rsid w:val="00791DA9"/>
    <w:rsid w:val="007932A9"/>
    <w:rsid w:val="0079551F"/>
    <w:rsid w:val="00795628"/>
    <w:rsid w:val="007961EE"/>
    <w:rsid w:val="0079656C"/>
    <w:rsid w:val="0079790D"/>
    <w:rsid w:val="007A0834"/>
    <w:rsid w:val="007A1660"/>
    <w:rsid w:val="007A4900"/>
    <w:rsid w:val="007A4FFC"/>
    <w:rsid w:val="007A53C6"/>
    <w:rsid w:val="007A6DC0"/>
    <w:rsid w:val="007A6DFE"/>
    <w:rsid w:val="007A73CB"/>
    <w:rsid w:val="007A7A8C"/>
    <w:rsid w:val="007B1291"/>
    <w:rsid w:val="007B1ED5"/>
    <w:rsid w:val="007B2EAD"/>
    <w:rsid w:val="007B2FFB"/>
    <w:rsid w:val="007B3520"/>
    <w:rsid w:val="007B3B40"/>
    <w:rsid w:val="007B3E3C"/>
    <w:rsid w:val="007B3F3D"/>
    <w:rsid w:val="007B41D7"/>
    <w:rsid w:val="007B4804"/>
    <w:rsid w:val="007B5B7E"/>
    <w:rsid w:val="007B5DA1"/>
    <w:rsid w:val="007B6187"/>
    <w:rsid w:val="007B6D98"/>
    <w:rsid w:val="007B7947"/>
    <w:rsid w:val="007B7A93"/>
    <w:rsid w:val="007C069A"/>
    <w:rsid w:val="007C10FB"/>
    <w:rsid w:val="007C2D7A"/>
    <w:rsid w:val="007C50F9"/>
    <w:rsid w:val="007C76FF"/>
    <w:rsid w:val="007C79DC"/>
    <w:rsid w:val="007D0321"/>
    <w:rsid w:val="007D03FE"/>
    <w:rsid w:val="007D0A65"/>
    <w:rsid w:val="007D0C3B"/>
    <w:rsid w:val="007D2AED"/>
    <w:rsid w:val="007D2CCA"/>
    <w:rsid w:val="007D3083"/>
    <w:rsid w:val="007D4558"/>
    <w:rsid w:val="007D58A8"/>
    <w:rsid w:val="007D61A7"/>
    <w:rsid w:val="007D64C1"/>
    <w:rsid w:val="007D66F7"/>
    <w:rsid w:val="007D6CAF"/>
    <w:rsid w:val="007D6EC5"/>
    <w:rsid w:val="007D7477"/>
    <w:rsid w:val="007E0C0F"/>
    <w:rsid w:val="007E0E6A"/>
    <w:rsid w:val="007E1265"/>
    <w:rsid w:val="007E12AA"/>
    <w:rsid w:val="007E1FF8"/>
    <w:rsid w:val="007E28DD"/>
    <w:rsid w:val="007E2D37"/>
    <w:rsid w:val="007E31E2"/>
    <w:rsid w:val="007E4072"/>
    <w:rsid w:val="007E477D"/>
    <w:rsid w:val="007E57EB"/>
    <w:rsid w:val="007E5816"/>
    <w:rsid w:val="007E5D3B"/>
    <w:rsid w:val="007E6AA1"/>
    <w:rsid w:val="007E6BD3"/>
    <w:rsid w:val="007E7ACF"/>
    <w:rsid w:val="007F0741"/>
    <w:rsid w:val="007F0C64"/>
    <w:rsid w:val="007F0F8F"/>
    <w:rsid w:val="007F1C73"/>
    <w:rsid w:val="007F1E76"/>
    <w:rsid w:val="007F24EE"/>
    <w:rsid w:val="007F2EB2"/>
    <w:rsid w:val="007F3271"/>
    <w:rsid w:val="007F4B85"/>
    <w:rsid w:val="007F4E69"/>
    <w:rsid w:val="007F54ED"/>
    <w:rsid w:val="007F61E9"/>
    <w:rsid w:val="007F644E"/>
    <w:rsid w:val="007F6855"/>
    <w:rsid w:val="007F6C68"/>
    <w:rsid w:val="007F6CA6"/>
    <w:rsid w:val="00800CE3"/>
    <w:rsid w:val="00800DAA"/>
    <w:rsid w:val="00801C59"/>
    <w:rsid w:val="00801D69"/>
    <w:rsid w:val="00802BD1"/>
    <w:rsid w:val="00802FE5"/>
    <w:rsid w:val="008046B1"/>
    <w:rsid w:val="00804D61"/>
    <w:rsid w:val="00805DD5"/>
    <w:rsid w:val="0080680E"/>
    <w:rsid w:val="00806D3D"/>
    <w:rsid w:val="0080721F"/>
    <w:rsid w:val="008077F2"/>
    <w:rsid w:val="00807B5B"/>
    <w:rsid w:val="008107B4"/>
    <w:rsid w:val="00810E1A"/>
    <w:rsid w:val="00811F41"/>
    <w:rsid w:val="00812C1F"/>
    <w:rsid w:val="00812D79"/>
    <w:rsid w:val="00813340"/>
    <w:rsid w:val="0081428E"/>
    <w:rsid w:val="008148F8"/>
    <w:rsid w:val="00814CA2"/>
    <w:rsid w:val="00817865"/>
    <w:rsid w:val="00817EC3"/>
    <w:rsid w:val="00820234"/>
    <w:rsid w:val="0082094C"/>
    <w:rsid w:val="008213EA"/>
    <w:rsid w:val="00822355"/>
    <w:rsid w:val="00822384"/>
    <w:rsid w:val="00824877"/>
    <w:rsid w:val="00824B57"/>
    <w:rsid w:val="00826AEC"/>
    <w:rsid w:val="00826C3A"/>
    <w:rsid w:val="00826E0F"/>
    <w:rsid w:val="00827468"/>
    <w:rsid w:val="008274A5"/>
    <w:rsid w:val="00827985"/>
    <w:rsid w:val="00831C97"/>
    <w:rsid w:val="00832109"/>
    <w:rsid w:val="00832606"/>
    <w:rsid w:val="0083337E"/>
    <w:rsid w:val="008334DD"/>
    <w:rsid w:val="00833D7F"/>
    <w:rsid w:val="00834844"/>
    <w:rsid w:val="00834B3B"/>
    <w:rsid w:val="00834BCB"/>
    <w:rsid w:val="00835647"/>
    <w:rsid w:val="00835997"/>
    <w:rsid w:val="008370D9"/>
    <w:rsid w:val="00837DDB"/>
    <w:rsid w:val="008410C6"/>
    <w:rsid w:val="00841F67"/>
    <w:rsid w:val="008420FF"/>
    <w:rsid w:val="00844BFF"/>
    <w:rsid w:val="00844C74"/>
    <w:rsid w:val="00844DFE"/>
    <w:rsid w:val="00845925"/>
    <w:rsid w:val="0084778D"/>
    <w:rsid w:val="00852B3C"/>
    <w:rsid w:val="008532A3"/>
    <w:rsid w:val="00854AE4"/>
    <w:rsid w:val="00854DE1"/>
    <w:rsid w:val="00856BE3"/>
    <w:rsid w:val="00857BEE"/>
    <w:rsid w:val="00860042"/>
    <w:rsid w:val="00860A52"/>
    <w:rsid w:val="00861514"/>
    <w:rsid w:val="00861D84"/>
    <w:rsid w:val="008621FA"/>
    <w:rsid w:val="0086285C"/>
    <w:rsid w:val="00862B4A"/>
    <w:rsid w:val="00864118"/>
    <w:rsid w:val="00864B7A"/>
    <w:rsid w:val="00864DAC"/>
    <w:rsid w:val="00866031"/>
    <w:rsid w:val="00873008"/>
    <w:rsid w:val="008744F5"/>
    <w:rsid w:val="00874B42"/>
    <w:rsid w:val="00874EF6"/>
    <w:rsid w:val="00875404"/>
    <w:rsid w:val="00880486"/>
    <w:rsid w:val="0088121B"/>
    <w:rsid w:val="00881574"/>
    <w:rsid w:val="00881AE7"/>
    <w:rsid w:val="0088222F"/>
    <w:rsid w:val="00883826"/>
    <w:rsid w:val="00884026"/>
    <w:rsid w:val="008844C8"/>
    <w:rsid w:val="00885398"/>
    <w:rsid w:val="00885BAA"/>
    <w:rsid w:val="0088650C"/>
    <w:rsid w:val="00886D58"/>
    <w:rsid w:val="00886E8E"/>
    <w:rsid w:val="00887078"/>
    <w:rsid w:val="0088709F"/>
    <w:rsid w:val="00887306"/>
    <w:rsid w:val="00890A46"/>
    <w:rsid w:val="008911B0"/>
    <w:rsid w:val="008915FD"/>
    <w:rsid w:val="008917DA"/>
    <w:rsid w:val="00891E8E"/>
    <w:rsid w:val="00892217"/>
    <w:rsid w:val="008931FE"/>
    <w:rsid w:val="008944B5"/>
    <w:rsid w:val="00895B39"/>
    <w:rsid w:val="00896202"/>
    <w:rsid w:val="00896FDC"/>
    <w:rsid w:val="008A0074"/>
    <w:rsid w:val="008A0286"/>
    <w:rsid w:val="008A11E3"/>
    <w:rsid w:val="008A1518"/>
    <w:rsid w:val="008A1B7E"/>
    <w:rsid w:val="008A1C29"/>
    <w:rsid w:val="008A250F"/>
    <w:rsid w:val="008A5B7E"/>
    <w:rsid w:val="008A5D48"/>
    <w:rsid w:val="008A60A1"/>
    <w:rsid w:val="008A6FFA"/>
    <w:rsid w:val="008A7384"/>
    <w:rsid w:val="008A7F28"/>
    <w:rsid w:val="008B00F8"/>
    <w:rsid w:val="008B0CDD"/>
    <w:rsid w:val="008B2A10"/>
    <w:rsid w:val="008B2A20"/>
    <w:rsid w:val="008B2A39"/>
    <w:rsid w:val="008B2C30"/>
    <w:rsid w:val="008B32FB"/>
    <w:rsid w:val="008B34E0"/>
    <w:rsid w:val="008B3A83"/>
    <w:rsid w:val="008B45F7"/>
    <w:rsid w:val="008B4C80"/>
    <w:rsid w:val="008B6308"/>
    <w:rsid w:val="008B64F6"/>
    <w:rsid w:val="008B6DE1"/>
    <w:rsid w:val="008B73F9"/>
    <w:rsid w:val="008B79F0"/>
    <w:rsid w:val="008C0557"/>
    <w:rsid w:val="008C17CB"/>
    <w:rsid w:val="008C1EEB"/>
    <w:rsid w:val="008C422C"/>
    <w:rsid w:val="008C4EB7"/>
    <w:rsid w:val="008C6D6E"/>
    <w:rsid w:val="008C6E33"/>
    <w:rsid w:val="008C744B"/>
    <w:rsid w:val="008C74D2"/>
    <w:rsid w:val="008C7950"/>
    <w:rsid w:val="008D06D3"/>
    <w:rsid w:val="008D09B5"/>
    <w:rsid w:val="008D09E8"/>
    <w:rsid w:val="008D1485"/>
    <w:rsid w:val="008D1F5F"/>
    <w:rsid w:val="008D200E"/>
    <w:rsid w:val="008D24E0"/>
    <w:rsid w:val="008D2FEB"/>
    <w:rsid w:val="008D327B"/>
    <w:rsid w:val="008D34DB"/>
    <w:rsid w:val="008D35BF"/>
    <w:rsid w:val="008D41A0"/>
    <w:rsid w:val="008D4EC0"/>
    <w:rsid w:val="008D52FC"/>
    <w:rsid w:val="008D65A2"/>
    <w:rsid w:val="008D7D83"/>
    <w:rsid w:val="008E0569"/>
    <w:rsid w:val="008E2130"/>
    <w:rsid w:val="008E2416"/>
    <w:rsid w:val="008E2966"/>
    <w:rsid w:val="008E3C0F"/>
    <w:rsid w:val="008E4BB8"/>
    <w:rsid w:val="008E4F2A"/>
    <w:rsid w:val="008E59F2"/>
    <w:rsid w:val="008E5A3C"/>
    <w:rsid w:val="008E68B1"/>
    <w:rsid w:val="008E6B93"/>
    <w:rsid w:val="008E74A6"/>
    <w:rsid w:val="008E7C6A"/>
    <w:rsid w:val="008F2445"/>
    <w:rsid w:val="008F245B"/>
    <w:rsid w:val="008F284B"/>
    <w:rsid w:val="008F2DBA"/>
    <w:rsid w:val="008F2E84"/>
    <w:rsid w:val="008F3D14"/>
    <w:rsid w:val="008F46AF"/>
    <w:rsid w:val="008F46B3"/>
    <w:rsid w:val="008F7A1C"/>
    <w:rsid w:val="008F7EF7"/>
    <w:rsid w:val="00900125"/>
    <w:rsid w:val="00901F9E"/>
    <w:rsid w:val="009028E5"/>
    <w:rsid w:val="00903124"/>
    <w:rsid w:val="00903A2C"/>
    <w:rsid w:val="00905449"/>
    <w:rsid w:val="00906F4B"/>
    <w:rsid w:val="00907CE9"/>
    <w:rsid w:val="00910341"/>
    <w:rsid w:val="009104FC"/>
    <w:rsid w:val="009106D9"/>
    <w:rsid w:val="0091266B"/>
    <w:rsid w:val="009138F8"/>
    <w:rsid w:val="00913D5A"/>
    <w:rsid w:val="00915963"/>
    <w:rsid w:val="00915BEE"/>
    <w:rsid w:val="00915FCA"/>
    <w:rsid w:val="00917484"/>
    <w:rsid w:val="00917997"/>
    <w:rsid w:val="00917BF7"/>
    <w:rsid w:val="00917E0C"/>
    <w:rsid w:val="00917FAC"/>
    <w:rsid w:val="009212EC"/>
    <w:rsid w:val="00921591"/>
    <w:rsid w:val="0092175F"/>
    <w:rsid w:val="00922E17"/>
    <w:rsid w:val="009248E5"/>
    <w:rsid w:val="00925451"/>
    <w:rsid w:val="00925982"/>
    <w:rsid w:val="00925B4F"/>
    <w:rsid w:val="00925EC0"/>
    <w:rsid w:val="00927F21"/>
    <w:rsid w:val="00930C12"/>
    <w:rsid w:val="00931940"/>
    <w:rsid w:val="00931F2C"/>
    <w:rsid w:val="00932402"/>
    <w:rsid w:val="00932CD6"/>
    <w:rsid w:val="00932F3C"/>
    <w:rsid w:val="009347CA"/>
    <w:rsid w:val="009351B7"/>
    <w:rsid w:val="009355E8"/>
    <w:rsid w:val="00936AEB"/>
    <w:rsid w:val="009370C2"/>
    <w:rsid w:val="00937FDF"/>
    <w:rsid w:val="00941319"/>
    <w:rsid w:val="0094191A"/>
    <w:rsid w:val="0094192E"/>
    <w:rsid w:val="009419BA"/>
    <w:rsid w:val="00942280"/>
    <w:rsid w:val="009426E8"/>
    <w:rsid w:val="00943B54"/>
    <w:rsid w:val="00943FF0"/>
    <w:rsid w:val="00944E80"/>
    <w:rsid w:val="00945291"/>
    <w:rsid w:val="009456E9"/>
    <w:rsid w:val="00950C19"/>
    <w:rsid w:val="00951606"/>
    <w:rsid w:val="0095217F"/>
    <w:rsid w:val="009530C7"/>
    <w:rsid w:val="0095664C"/>
    <w:rsid w:val="00956AB0"/>
    <w:rsid w:val="00956FFB"/>
    <w:rsid w:val="00957942"/>
    <w:rsid w:val="00960790"/>
    <w:rsid w:val="00961372"/>
    <w:rsid w:val="0096258C"/>
    <w:rsid w:val="009632FC"/>
    <w:rsid w:val="00963F0D"/>
    <w:rsid w:val="00964336"/>
    <w:rsid w:val="00965002"/>
    <w:rsid w:val="009654F4"/>
    <w:rsid w:val="009655E3"/>
    <w:rsid w:val="009661CD"/>
    <w:rsid w:val="00966681"/>
    <w:rsid w:val="009669B3"/>
    <w:rsid w:val="00967A44"/>
    <w:rsid w:val="00967D55"/>
    <w:rsid w:val="00970A71"/>
    <w:rsid w:val="00970E0C"/>
    <w:rsid w:val="00970FF9"/>
    <w:rsid w:val="00971445"/>
    <w:rsid w:val="00971EAE"/>
    <w:rsid w:val="009752EC"/>
    <w:rsid w:val="00975F5E"/>
    <w:rsid w:val="00981356"/>
    <w:rsid w:val="00981D68"/>
    <w:rsid w:val="00982785"/>
    <w:rsid w:val="00982DD4"/>
    <w:rsid w:val="0098331A"/>
    <w:rsid w:val="009837D0"/>
    <w:rsid w:val="0098447D"/>
    <w:rsid w:val="009844E7"/>
    <w:rsid w:val="009848A6"/>
    <w:rsid w:val="00985431"/>
    <w:rsid w:val="00987782"/>
    <w:rsid w:val="00990F9E"/>
    <w:rsid w:val="009914CA"/>
    <w:rsid w:val="00991CD0"/>
    <w:rsid w:val="00992720"/>
    <w:rsid w:val="009940F7"/>
    <w:rsid w:val="009951EE"/>
    <w:rsid w:val="0099701B"/>
    <w:rsid w:val="00997205"/>
    <w:rsid w:val="00997238"/>
    <w:rsid w:val="009A0944"/>
    <w:rsid w:val="009A1A77"/>
    <w:rsid w:val="009A33EF"/>
    <w:rsid w:val="009A3825"/>
    <w:rsid w:val="009A3D8B"/>
    <w:rsid w:val="009A4C5F"/>
    <w:rsid w:val="009A5BE4"/>
    <w:rsid w:val="009A61D0"/>
    <w:rsid w:val="009A6749"/>
    <w:rsid w:val="009A7343"/>
    <w:rsid w:val="009B014F"/>
    <w:rsid w:val="009B15C0"/>
    <w:rsid w:val="009B1C68"/>
    <w:rsid w:val="009B2382"/>
    <w:rsid w:val="009B4A4C"/>
    <w:rsid w:val="009B5829"/>
    <w:rsid w:val="009B5FE3"/>
    <w:rsid w:val="009B61C0"/>
    <w:rsid w:val="009C297A"/>
    <w:rsid w:val="009C2DB1"/>
    <w:rsid w:val="009C307E"/>
    <w:rsid w:val="009C39AC"/>
    <w:rsid w:val="009C470A"/>
    <w:rsid w:val="009C4DF3"/>
    <w:rsid w:val="009C5A0C"/>
    <w:rsid w:val="009C6EE1"/>
    <w:rsid w:val="009C7259"/>
    <w:rsid w:val="009C732B"/>
    <w:rsid w:val="009C7FFD"/>
    <w:rsid w:val="009D0FB2"/>
    <w:rsid w:val="009D2DAC"/>
    <w:rsid w:val="009D3F1E"/>
    <w:rsid w:val="009D427F"/>
    <w:rsid w:val="009D464A"/>
    <w:rsid w:val="009D4ACE"/>
    <w:rsid w:val="009D59E7"/>
    <w:rsid w:val="009D65CF"/>
    <w:rsid w:val="009D68CD"/>
    <w:rsid w:val="009E00E2"/>
    <w:rsid w:val="009E0426"/>
    <w:rsid w:val="009E056C"/>
    <w:rsid w:val="009E13F1"/>
    <w:rsid w:val="009E16D6"/>
    <w:rsid w:val="009E2261"/>
    <w:rsid w:val="009E2FB6"/>
    <w:rsid w:val="009E3AAD"/>
    <w:rsid w:val="009E3FC1"/>
    <w:rsid w:val="009E4448"/>
    <w:rsid w:val="009E4951"/>
    <w:rsid w:val="009E5D8C"/>
    <w:rsid w:val="009E6108"/>
    <w:rsid w:val="009E7A26"/>
    <w:rsid w:val="009F1158"/>
    <w:rsid w:val="009F2AB8"/>
    <w:rsid w:val="009F3365"/>
    <w:rsid w:val="009F625E"/>
    <w:rsid w:val="009F6BD0"/>
    <w:rsid w:val="009F7F95"/>
    <w:rsid w:val="00A00579"/>
    <w:rsid w:val="00A00D7C"/>
    <w:rsid w:val="00A02139"/>
    <w:rsid w:val="00A02F8B"/>
    <w:rsid w:val="00A034AC"/>
    <w:rsid w:val="00A03883"/>
    <w:rsid w:val="00A03C4C"/>
    <w:rsid w:val="00A03FCB"/>
    <w:rsid w:val="00A04163"/>
    <w:rsid w:val="00A04C13"/>
    <w:rsid w:val="00A0506F"/>
    <w:rsid w:val="00A06185"/>
    <w:rsid w:val="00A062F7"/>
    <w:rsid w:val="00A07103"/>
    <w:rsid w:val="00A10A03"/>
    <w:rsid w:val="00A11097"/>
    <w:rsid w:val="00A11810"/>
    <w:rsid w:val="00A11ED7"/>
    <w:rsid w:val="00A124EF"/>
    <w:rsid w:val="00A125B3"/>
    <w:rsid w:val="00A14178"/>
    <w:rsid w:val="00A15001"/>
    <w:rsid w:val="00A1508E"/>
    <w:rsid w:val="00A151B1"/>
    <w:rsid w:val="00A15458"/>
    <w:rsid w:val="00A155E3"/>
    <w:rsid w:val="00A161D6"/>
    <w:rsid w:val="00A168F4"/>
    <w:rsid w:val="00A2004A"/>
    <w:rsid w:val="00A20BE4"/>
    <w:rsid w:val="00A218CC"/>
    <w:rsid w:val="00A21B50"/>
    <w:rsid w:val="00A21FCB"/>
    <w:rsid w:val="00A22C52"/>
    <w:rsid w:val="00A23A7A"/>
    <w:rsid w:val="00A249F0"/>
    <w:rsid w:val="00A24C1F"/>
    <w:rsid w:val="00A25521"/>
    <w:rsid w:val="00A25C98"/>
    <w:rsid w:val="00A27707"/>
    <w:rsid w:val="00A27905"/>
    <w:rsid w:val="00A333C4"/>
    <w:rsid w:val="00A33E63"/>
    <w:rsid w:val="00A33EDF"/>
    <w:rsid w:val="00A34ADA"/>
    <w:rsid w:val="00A35D8E"/>
    <w:rsid w:val="00A35EF6"/>
    <w:rsid w:val="00A35F30"/>
    <w:rsid w:val="00A36631"/>
    <w:rsid w:val="00A4030A"/>
    <w:rsid w:val="00A41B10"/>
    <w:rsid w:val="00A42E8C"/>
    <w:rsid w:val="00A4376B"/>
    <w:rsid w:val="00A43E5D"/>
    <w:rsid w:val="00A45D2A"/>
    <w:rsid w:val="00A45F87"/>
    <w:rsid w:val="00A45FA5"/>
    <w:rsid w:val="00A464C4"/>
    <w:rsid w:val="00A469FE"/>
    <w:rsid w:val="00A471AA"/>
    <w:rsid w:val="00A477F5"/>
    <w:rsid w:val="00A50479"/>
    <w:rsid w:val="00A50667"/>
    <w:rsid w:val="00A51EB1"/>
    <w:rsid w:val="00A51FB4"/>
    <w:rsid w:val="00A5374F"/>
    <w:rsid w:val="00A53D41"/>
    <w:rsid w:val="00A54613"/>
    <w:rsid w:val="00A5478E"/>
    <w:rsid w:val="00A55175"/>
    <w:rsid w:val="00A558C9"/>
    <w:rsid w:val="00A56602"/>
    <w:rsid w:val="00A56663"/>
    <w:rsid w:val="00A56788"/>
    <w:rsid w:val="00A57835"/>
    <w:rsid w:val="00A61DAB"/>
    <w:rsid w:val="00A61EAA"/>
    <w:rsid w:val="00A6263A"/>
    <w:rsid w:val="00A6621A"/>
    <w:rsid w:val="00A66E94"/>
    <w:rsid w:val="00A71FA9"/>
    <w:rsid w:val="00A7214A"/>
    <w:rsid w:val="00A72E22"/>
    <w:rsid w:val="00A730C0"/>
    <w:rsid w:val="00A732A3"/>
    <w:rsid w:val="00A73881"/>
    <w:rsid w:val="00A76D1A"/>
    <w:rsid w:val="00A80035"/>
    <w:rsid w:val="00A80AD5"/>
    <w:rsid w:val="00A80C25"/>
    <w:rsid w:val="00A814A8"/>
    <w:rsid w:val="00A81D55"/>
    <w:rsid w:val="00A823C7"/>
    <w:rsid w:val="00A82A08"/>
    <w:rsid w:val="00A82D82"/>
    <w:rsid w:val="00A8336C"/>
    <w:rsid w:val="00A847B5"/>
    <w:rsid w:val="00A8531A"/>
    <w:rsid w:val="00A859A2"/>
    <w:rsid w:val="00A86094"/>
    <w:rsid w:val="00A86541"/>
    <w:rsid w:val="00A8732D"/>
    <w:rsid w:val="00A875A0"/>
    <w:rsid w:val="00A87986"/>
    <w:rsid w:val="00A87DDD"/>
    <w:rsid w:val="00A87EC2"/>
    <w:rsid w:val="00A9275C"/>
    <w:rsid w:val="00A93F65"/>
    <w:rsid w:val="00A970B1"/>
    <w:rsid w:val="00A97FCB"/>
    <w:rsid w:val="00AA0103"/>
    <w:rsid w:val="00AA1391"/>
    <w:rsid w:val="00AA1B36"/>
    <w:rsid w:val="00AA1DF2"/>
    <w:rsid w:val="00AA2F3A"/>
    <w:rsid w:val="00AA3B2A"/>
    <w:rsid w:val="00AA4229"/>
    <w:rsid w:val="00AA5290"/>
    <w:rsid w:val="00AA63CB"/>
    <w:rsid w:val="00AA6420"/>
    <w:rsid w:val="00AA7468"/>
    <w:rsid w:val="00AA7C06"/>
    <w:rsid w:val="00AA7E20"/>
    <w:rsid w:val="00AB0499"/>
    <w:rsid w:val="00AB0E32"/>
    <w:rsid w:val="00AB2906"/>
    <w:rsid w:val="00AB2FBD"/>
    <w:rsid w:val="00AB3197"/>
    <w:rsid w:val="00AB3F2A"/>
    <w:rsid w:val="00AB416D"/>
    <w:rsid w:val="00AB57B2"/>
    <w:rsid w:val="00AB63FA"/>
    <w:rsid w:val="00AB650A"/>
    <w:rsid w:val="00AB650B"/>
    <w:rsid w:val="00AB67EA"/>
    <w:rsid w:val="00AB686F"/>
    <w:rsid w:val="00AC08FA"/>
    <w:rsid w:val="00AC0A9B"/>
    <w:rsid w:val="00AC1308"/>
    <w:rsid w:val="00AC2079"/>
    <w:rsid w:val="00AC575F"/>
    <w:rsid w:val="00AC592D"/>
    <w:rsid w:val="00AC59EE"/>
    <w:rsid w:val="00AC5D13"/>
    <w:rsid w:val="00AC700B"/>
    <w:rsid w:val="00AC71D2"/>
    <w:rsid w:val="00AC7468"/>
    <w:rsid w:val="00AC74D0"/>
    <w:rsid w:val="00AC76C5"/>
    <w:rsid w:val="00AD0F05"/>
    <w:rsid w:val="00AD1520"/>
    <w:rsid w:val="00AD1AFE"/>
    <w:rsid w:val="00AD2405"/>
    <w:rsid w:val="00AD3F42"/>
    <w:rsid w:val="00AD409C"/>
    <w:rsid w:val="00AD5070"/>
    <w:rsid w:val="00AD6ADD"/>
    <w:rsid w:val="00AD77AD"/>
    <w:rsid w:val="00AE0785"/>
    <w:rsid w:val="00AE0E67"/>
    <w:rsid w:val="00AE1761"/>
    <w:rsid w:val="00AE1CB8"/>
    <w:rsid w:val="00AE278A"/>
    <w:rsid w:val="00AE2890"/>
    <w:rsid w:val="00AE2C19"/>
    <w:rsid w:val="00AE4695"/>
    <w:rsid w:val="00AE4EA4"/>
    <w:rsid w:val="00AE7DDB"/>
    <w:rsid w:val="00AE7EB9"/>
    <w:rsid w:val="00AF137B"/>
    <w:rsid w:val="00AF14C0"/>
    <w:rsid w:val="00AF2DD8"/>
    <w:rsid w:val="00AF3240"/>
    <w:rsid w:val="00AF3710"/>
    <w:rsid w:val="00AF37A7"/>
    <w:rsid w:val="00AF3DAE"/>
    <w:rsid w:val="00AF3ED9"/>
    <w:rsid w:val="00AF3FAD"/>
    <w:rsid w:val="00AF44CF"/>
    <w:rsid w:val="00AF716C"/>
    <w:rsid w:val="00AF796A"/>
    <w:rsid w:val="00B011FD"/>
    <w:rsid w:val="00B01C68"/>
    <w:rsid w:val="00B01D62"/>
    <w:rsid w:val="00B02C8A"/>
    <w:rsid w:val="00B03020"/>
    <w:rsid w:val="00B03311"/>
    <w:rsid w:val="00B034D3"/>
    <w:rsid w:val="00B03AB8"/>
    <w:rsid w:val="00B04DF3"/>
    <w:rsid w:val="00B05188"/>
    <w:rsid w:val="00B05537"/>
    <w:rsid w:val="00B0605D"/>
    <w:rsid w:val="00B065AC"/>
    <w:rsid w:val="00B06E98"/>
    <w:rsid w:val="00B06FB9"/>
    <w:rsid w:val="00B10EC4"/>
    <w:rsid w:val="00B11DD4"/>
    <w:rsid w:val="00B124A6"/>
    <w:rsid w:val="00B128A7"/>
    <w:rsid w:val="00B129C5"/>
    <w:rsid w:val="00B12AAD"/>
    <w:rsid w:val="00B12B8D"/>
    <w:rsid w:val="00B12E92"/>
    <w:rsid w:val="00B131D2"/>
    <w:rsid w:val="00B1360A"/>
    <w:rsid w:val="00B15E56"/>
    <w:rsid w:val="00B1643B"/>
    <w:rsid w:val="00B17165"/>
    <w:rsid w:val="00B203CF"/>
    <w:rsid w:val="00B206A4"/>
    <w:rsid w:val="00B22801"/>
    <w:rsid w:val="00B22AFA"/>
    <w:rsid w:val="00B230B4"/>
    <w:rsid w:val="00B23912"/>
    <w:rsid w:val="00B244B8"/>
    <w:rsid w:val="00B24FF8"/>
    <w:rsid w:val="00B25CE9"/>
    <w:rsid w:val="00B26316"/>
    <w:rsid w:val="00B2653D"/>
    <w:rsid w:val="00B2669C"/>
    <w:rsid w:val="00B27787"/>
    <w:rsid w:val="00B3038A"/>
    <w:rsid w:val="00B30884"/>
    <w:rsid w:val="00B328D7"/>
    <w:rsid w:val="00B33B16"/>
    <w:rsid w:val="00B35BA7"/>
    <w:rsid w:val="00B36337"/>
    <w:rsid w:val="00B37BF6"/>
    <w:rsid w:val="00B401CC"/>
    <w:rsid w:val="00B40920"/>
    <w:rsid w:val="00B40D94"/>
    <w:rsid w:val="00B421AC"/>
    <w:rsid w:val="00B42B82"/>
    <w:rsid w:val="00B43946"/>
    <w:rsid w:val="00B46070"/>
    <w:rsid w:val="00B47047"/>
    <w:rsid w:val="00B517EE"/>
    <w:rsid w:val="00B52AA1"/>
    <w:rsid w:val="00B52B1B"/>
    <w:rsid w:val="00B540D1"/>
    <w:rsid w:val="00B54485"/>
    <w:rsid w:val="00B552F9"/>
    <w:rsid w:val="00B5567D"/>
    <w:rsid w:val="00B568EA"/>
    <w:rsid w:val="00B56902"/>
    <w:rsid w:val="00B57F5F"/>
    <w:rsid w:val="00B60564"/>
    <w:rsid w:val="00B6197D"/>
    <w:rsid w:val="00B61ACF"/>
    <w:rsid w:val="00B61FCC"/>
    <w:rsid w:val="00B62A7B"/>
    <w:rsid w:val="00B63065"/>
    <w:rsid w:val="00B6419A"/>
    <w:rsid w:val="00B6781E"/>
    <w:rsid w:val="00B67BFB"/>
    <w:rsid w:val="00B700F3"/>
    <w:rsid w:val="00B71275"/>
    <w:rsid w:val="00B722A9"/>
    <w:rsid w:val="00B74CF2"/>
    <w:rsid w:val="00B75B72"/>
    <w:rsid w:val="00B7628E"/>
    <w:rsid w:val="00B76473"/>
    <w:rsid w:val="00B766E3"/>
    <w:rsid w:val="00B770AA"/>
    <w:rsid w:val="00B770CD"/>
    <w:rsid w:val="00B77D08"/>
    <w:rsid w:val="00B77F15"/>
    <w:rsid w:val="00B82C79"/>
    <w:rsid w:val="00B84A25"/>
    <w:rsid w:val="00B86023"/>
    <w:rsid w:val="00B8745A"/>
    <w:rsid w:val="00B87860"/>
    <w:rsid w:val="00B903C3"/>
    <w:rsid w:val="00B904F0"/>
    <w:rsid w:val="00B90809"/>
    <w:rsid w:val="00B93749"/>
    <w:rsid w:val="00B942C1"/>
    <w:rsid w:val="00B95021"/>
    <w:rsid w:val="00B97EF5"/>
    <w:rsid w:val="00BA0790"/>
    <w:rsid w:val="00BA2522"/>
    <w:rsid w:val="00BA3055"/>
    <w:rsid w:val="00BA3BF4"/>
    <w:rsid w:val="00BA4BE6"/>
    <w:rsid w:val="00BA51C7"/>
    <w:rsid w:val="00BA689F"/>
    <w:rsid w:val="00BA6FEB"/>
    <w:rsid w:val="00BA7124"/>
    <w:rsid w:val="00BA7435"/>
    <w:rsid w:val="00BA7B36"/>
    <w:rsid w:val="00BB0605"/>
    <w:rsid w:val="00BB0FEB"/>
    <w:rsid w:val="00BB24D4"/>
    <w:rsid w:val="00BB3144"/>
    <w:rsid w:val="00BB3B8D"/>
    <w:rsid w:val="00BB44BA"/>
    <w:rsid w:val="00BB5226"/>
    <w:rsid w:val="00BB5255"/>
    <w:rsid w:val="00BB6242"/>
    <w:rsid w:val="00BB6359"/>
    <w:rsid w:val="00BB65A9"/>
    <w:rsid w:val="00BB6B0F"/>
    <w:rsid w:val="00BB6F48"/>
    <w:rsid w:val="00BB7588"/>
    <w:rsid w:val="00BC0CCA"/>
    <w:rsid w:val="00BC0DB1"/>
    <w:rsid w:val="00BC0E35"/>
    <w:rsid w:val="00BC18C3"/>
    <w:rsid w:val="00BC1E8B"/>
    <w:rsid w:val="00BC2C08"/>
    <w:rsid w:val="00BC2D57"/>
    <w:rsid w:val="00BC2F7D"/>
    <w:rsid w:val="00BC3AF4"/>
    <w:rsid w:val="00BC3FE7"/>
    <w:rsid w:val="00BC69EA"/>
    <w:rsid w:val="00BD00F0"/>
    <w:rsid w:val="00BD1500"/>
    <w:rsid w:val="00BD2221"/>
    <w:rsid w:val="00BD2279"/>
    <w:rsid w:val="00BD376C"/>
    <w:rsid w:val="00BD3F3C"/>
    <w:rsid w:val="00BD5692"/>
    <w:rsid w:val="00BE02E9"/>
    <w:rsid w:val="00BE1359"/>
    <w:rsid w:val="00BE1A6A"/>
    <w:rsid w:val="00BE2E12"/>
    <w:rsid w:val="00BE5213"/>
    <w:rsid w:val="00BE5754"/>
    <w:rsid w:val="00BE59EA"/>
    <w:rsid w:val="00BE7240"/>
    <w:rsid w:val="00BF1D25"/>
    <w:rsid w:val="00BF1F6C"/>
    <w:rsid w:val="00BF521C"/>
    <w:rsid w:val="00BF5230"/>
    <w:rsid w:val="00BF5843"/>
    <w:rsid w:val="00BF6B14"/>
    <w:rsid w:val="00BF762D"/>
    <w:rsid w:val="00C008AD"/>
    <w:rsid w:val="00C00D62"/>
    <w:rsid w:val="00C00E35"/>
    <w:rsid w:val="00C01666"/>
    <w:rsid w:val="00C02CCC"/>
    <w:rsid w:val="00C04339"/>
    <w:rsid w:val="00C058A9"/>
    <w:rsid w:val="00C05924"/>
    <w:rsid w:val="00C06A36"/>
    <w:rsid w:val="00C06CC1"/>
    <w:rsid w:val="00C070C1"/>
    <w:rsid w:val="00C079BB"/>
    <w:rsid w:val="00C11329"/>
    <w:rsid w:val="00C1145E"/>
    <w:rsid w:val="00C117E9"/>
    <w:rsid w:val="00C11FA6"/>
    <w:rsid w:val="00C1214D"/>
    <w:rsid w:val="00C12248"/>
    <w:rsid w:val="00C12931"/>
    <w:rsid w:val="00C12FED"/>
    <w:rsid w:val="00C149BA"/>
    <w:rsid w:val="00C14DA6"/>
    <w:rsid w:val="00C15053"/>
    <w:rsid w:val="00C159F6"/>
    <w:rsid w:val="00C1605B"/>
    <w:rsid w:val="00C1648B"/>
    <w:rsid w:val="00C170F9"/>
    <w:rsid w:val="00C21B10"/>
    <w:rsid w:val="00C233B2"/>
    <w:rsid w:val="00C23F08"/>
    <w:rsid w:val="00C240E4"/>
    <w:rsid w:val="00C24158"/>
    <w:rsid w:val="00C2482C"/>
    <w:rsid w:val="00C24B09"/>
    <w:rsid w:val="00C25900"/>
    <w:rsid w:val="00C25996"/>
    <w:rsid w:val="00C26105"/>
    <w:rsid w:val="00C31803"/>
    <w:rsid w:val="00C33101"/>
    <w:rsid w:val="00C33135"/>
    <w:rsid w:val="00C332BB"/>
    <w:rsid w:val="00C33513"/>
    <w:rsid w:val="00C342FE"/>
    <w:rsid w:val="00C347A2"/>
    <w:rsid w:val="00C349A9"/>
    <w:rsid w:val="00C35B3F"/>
    <w:rsid w:val="00C3638E"/>
    <w:rsid w:val="00C3642E"/>
    <w:rsid w:val="00C36618"/>
    <w:rsid w:val="00C40BAA"/>
    <w:rsid w:val="00C414D6"/>
    <w:rsid w:val="00C41C3E"/>
    <w:rsid w:val="00C41D5F"/>
    <w:rsid w:val="00C42505"/>
    <w:rsid w:val="00C44416"/>
    <w:rsid w:val="00C45879"/>
    <w:rsid w:val="00C510F1"/>
    <w:rsid w:val="00C51F80"/>
    <w:rsid w:val="00C52132"/>
    <w:rsid w:val="00C525B2"/>
    <w:rsid w:val="00C5280A"/>
    <w:rsid w:val="00C52D6F"/>
    <w:rsid w:val="00C539AC"/>
    <w:rsid w:val="00C5441F"/>
    <w:rsid w:val="00C546ED"/>
    <w:rsid w:val="00C552BA"/>
    <w:rsid w:val="00C55897"/>
    <w:rsid w:val="00C564EE"/>
    <w:rsid w:val="00C56751"/>
    <w:rsid w:val="00C57077"/>
    <w:rsid w:val="00C645FA"/>
    <w:rsid w:val="00C662B0"/>
    <w:rsid w:val="00C66311"/>
    <w:rsid w:val="00C66AA0"/>
    <w:rsid w:val="00C672A1"/>
    <w:rsid w:val="00C70BC6"/>
    <w:rsid w:val="00C71296"/>
    <w:rsid w:val="00C71622"/>
    <w:rsid w:val="00C7210F"/>
    <w:rsid w:val="00C72759"/>
    <w:rsid w:val="00C72BEB"/>
    <w:rsid w:val="00C740E4"/>
    <w:rsid w:val="00C7422B"/>
    <w:rsid w:val="00C7474F"/>
    <w:rsid w:val="00C74766"/>
    <w:rsid w:val="00C75536"/>
    <w:rsid w:val="00C80613"/>
    <w:rsid w:val="00C81441"/>
    <w:rsid w:val="00C82E37"/>
    <w:rsid w:val="00C83649"/>
    <w:rsid w:val="00C84618"/>
    <w:rsid w:val="00C84E13"/>
    <w:rsid w:val="00C84F0C"/>
    <w:rsid w:val="00C859EB"/>
    <w:rsid w:val="00C87304"/>
    <w:rsid w:val="00C9131B"/>
    <w:rsid w:val="00C91920"/>
    <w:rsid w:val="00C91D1D"/>
    <w:rsid w:val="00C92173"/>
    <w:rsid w:val="00C92335"/>
    <w:rsid w:val="00C93967"/>
    <w:rsid w:val="00C946F3"/>
    <w:rsid w:val="00C95164"/>
    <w:rsid w:val="00C9525F"/>
    <w:rsid w:val="00C953CA"/>
    <w:rsid w:val="00C96A27"/>
    <w:rsid w:val="00CA1107"/>
    <w:rsid w:val="00CA1859"/>
    <w:rsid w:val="00CA3822"/>
    <w:rsid w:val="00CA4406"/>
    <w:rsid w:val="00CA4986"/>
    <w:rsid w:val="00CA4DB6"/>
    <w:rsid w:val="00CB04D6"/>
    <w:rsid w:val="00CB05FA"/>
    <w:rsid w:val="00CB15FB"/>
    <w:rsid w:val="00CB1EF5"/>
    <w:rsid w:val="00CB4841"/>
    <w:rsid w:val="00CB4EB7"/>
    <w:rsid w:val="00CB5004"/>
    <w:rsid w:val="00CB5B13"/>
    <w:rsid w:val="00CB736F"/>
    <w:rsid w:val="00CC0533"/>
    <w:rsid w:val="00CC2ABB"/>
    <w:rsid w:val="00CC3135"/>
    <w:rsid w:val="00CC3E56"/>
    <w:rsid w:val="00CC453F"/>
    <w:rsid w:val="00CC5959"/>
    <w:rsid w:val="00CC71BD"/>
    <w:rsid w:val="00CC76C5"/>
    <w:rsid w:val="00CC7E28"/>
    <w:rsid w:val="00CD0071"/>
    <w:rsid w:val="00CD0362"/>
    <w:rsid w:val="00CD1AE4"/>
    <w:rsid w:val="00CD1FEE"/>
    <w:rsid w:val="00CD2215"/>
    <w:rsid w:val="00CD2942"/>
    <w:rsid w:val="00CD39AA"/>
    <w:rsid w:val="00CD3ABA"/>
    <w:rsid w:val="00CD3B54"/>
    <w:rsid w:val="00CD3EEE"/>
    <w:rsid w:val="00CD468B"/>
    <w:rsid w:val="00CD5411"/>
    <w:rsid w:val="00CD5883"/>
    <w:rsid w:val="00CD593F"/>
    <w:rsid w:val="00CD629D"/>
    <w:rsid w:val="00CE0604"/>
    <w:rsid w:val="00CE116B"/>
    <w:rsid w:val="00CE3073"/>
    <w:rsid w:val="00CE3091"/>
    <w:rsid w:val="00CE34ED"/>
    <w:rsid w:val="00CE3C25"/>
    <w:rsid w:val="00CE4311"/>
    <w:rsid w:val="00CE4374"/>
    <w:rsid w:val="00CE6223"/>
    <w:rsid w:val="00CE648D"/>
    <w:rsid w:val="00CE68FA"/>
    <w:rsid w:val="00CE6F72"/>
    <w:rsid w:val="00CF0794"/>
    <w:rsid w:val="00CF08D1"/>
    <w:rsid w:val="00CF158A"/>
    <w:rsid w:val="00CF18E8"/>
    <w:rsid w:val="00CF1D8A"/>
    <w:rsid w:val="00CF202B"/>
    <w:rsid w:val="00CF2EC0"/>
    <w:rsid w:val="00CF37F8"/>
    <w:rsid w:val="00CF3E45"/>
    <w:rsid w:val="00CF4029"/>
    <w:rsid w:val="00CF6867"/>
    <w:rsid w:val="00CF7655"/>
    <w:rsid w:val="00CF7DAA"/>
    <w:rsid w:val="00D03675"/>
    <w:rsid w:val="00D03B09"/>
    <w:rsid w:val="00D053EF"/>
    <w:rsid w:val="00D05A64"/>
    <w:rsid w:val="00D06959"/>
    <w:rsid w:val="00D072AD"/>
    <w:rsid w:val="00D07BA1"/>
    <w:rsid w:val="00D103D9"/>
    <w:rsid w:val="00D10F57"/>
    <w:rsid w:val="00D116ED"/>
    <w:rsid w:val="00D11DAE"/>
    <w:rsid w:val="00D14BBB"/>
    <w:rsid w:val="00D17110"/>
    <w:rsid w:val="00D17E83"/>
    <w:rsid w:val="00D2025E"/>
    <w:rsid w:val="00D21DC3"/>
    <w:rsid w:val="00D2375E"/>
    <w:rsid w:val="00D241BE"/>
    <w:rsid w:val="00D24F93"/>
    <w:rsid w:val="00D25365"/>
    <w:rsid w:val="00D25964"/>
    <w:rsid w:val="00D272AA"/>
    <w:rsid w:val="00D2774C"/>
    <w:rsid w:val="00D3020B"/>
    <w:rsid w:val="00D30BE8"/>
    <w:rsid w:val="00D31C0F"/>
    <w:rsid w:val="00D32A33"/>
    <w:rsid w:val="00D34446"/>
    <w:rsid w:val="00D348F1"/>
    <w:rsid w:val="00D34BC0"/>
    <w:rsid w:val="00D3523D"/>
    <w:rsid w:val="00D361F3"/>
    <w:rsid w:val="00D37A3F"/>
    <w:rsid w:val="00D41D4C"/>
    <w:rsid w:val="00D41FEF"/>
    <w:rsid w:val="00D42236"/>
    <w:rsid w:val="00D436D3"/>
    <w:rsid w:val="00D43F1F"/>
    <w:rsid w:val="00D4417A"/>
    <w:rsid w:val="00D443BA"/>
    <w:rsid w:val="00D44D1C"/>
    <w:rsid w:val="00D45010"/>
    <w:rsid w:val="00D51655"/>
    <w:rsid w:val="00D52640"/>
    <w:rsid w:val="00D52F3D"/>
    <w:rsid w:val="00D544E7"/>
    <w:rsid w:val="00D54F2A"/>
    <w:rsid w:val="00D56E22"/>
    <w:rsid w:val="00D57451"/>
    <w:rsid w:val="00D575BB"/>
    <w:rsid w:val="00D6073C"/>
    <w:rsid w:val="00D60A92"/>
    <w:rsid w:val="00D60B3F"/>
    <w:rsid w:val="00D61B7B"/>
    <w:rsid w:val="00D62275"/>
    <w:rsid w:val="00D629C2"/>
    <w:rsid w:val="00D6372D"/>
    <w:rsid w:val="00D63796"/>
    <w:rsid w:val="00D63C9D"/>
    <w:rsid w:val="00D65473"/>
    <w:rsid w:val="00D661E8"/>
    <w:rsid w:val="00D6658B"/>
    <w:rsid w:val="00D667E7"/>
    <w:rsid w:val="00D66BB6"/>
    <w:rsid w:val="00D66F11"/>
    <w:rsid w:val="00D671A5"/>
    <w:rsid w:val="00D67933"/>
    <w:rsid w:val="00D67A3F"/>
    <w:rsid w:val="00D67BEC"/>
    <w:rsid w:val="00D7156D"/>
    <w:rsid w:val="00D71581"/>
    <w:rsid w:val="00D71893"/>
    <w:rsid w:val="00D7199E"/>
    <w:rsid w:val="00D71B82"/>
    <w:rsid w:val="00D71C06"/>
    <w:rsid w:val="00D72618"/>
    <w:rsid w:val="00D72A4C"/>
    <w:rsid w:val="00D73939"/>
    <w:rsid w:val="00D740B1"/>
    <w:rsid w:val="00D7600D"/>
    <w:rsid w:val="00D7765A"/>
    <w:rsid w:val="00D77D97"/>
    <w:rsid w:val="00D77E5D"/>
    <w:rsid w:val="00D80E2D"/>
    <w:rsid w:val="00D810BF"/>
    <w:rsid w:val="00D818D1"/>
    <w:rsid w:val="00D82E87"/>
    <w:rsid w:val="00D83032"/>
    <w:rsid w:val="00D842D8"/>
    <w:rsid w:val="00D85159"/>
    <w:rsid w:val="00D85678"/>
    <w:rsid w:val="00D86414"/>
    <w:rsid w:val="00D87E45"/>
    <w:rsid w:val="00D90064"/>
    <w:rsid w:val="00D911BF"/>
    <w:rsid w:val="00D92239"/>
    <w:rsid w:val="00D9286F"/>
    <w:rsid w:val="00D950D7"/>
    <w:rsid w:val="00D9553B"/>
    <w:rsid w:val="00D95C03"/>
    <w:rsid w:val="00D95DEB"/>
    <w:rsid w:val="00D961D9"/>
    <w:rsid w:val="00D969A0"/>
    <w:rsid w:val="00DA1433"/>
    <w:rsid w:val="00DA16FF"/>
    <w:rsid w:val="00DA2960"/>
    <w:rsid w:val="00DA2A75"/>
    <w:rsid w:val="00DA328D"/>
    <w:rsid w:val="00DA42A6"/>
    <w:rsid w:val="00DA5610"/>
    <w:rsid w:val="00DA5611"/>
    <w:rsid w:val="00DA5722"/>
    <w:rsid w:val="00DA70D2"/>
    <w:rsid w:val="00DA7DC6"/>
    <w:rsid w:val="00DB0291"/>
    <w:rsid w:val="00DB211A"/>
    <w:rsid w:val="00DB22BA"/>
    <w:rsid w:val="00DB3B5B"/>
    <w:rsid w:val="00DB7B68"/>
    <w:rsid w:val="00DC0F37"/>
    <w:rsid w:val="00DC1ECA"/>
    <w:rsid w:val="00DC1ED5"/>
    <w:rsid w:val="00DC2438"/>
    <w:rsid w:val="00DC2BB5"/>
    <w:rsid w:val="00DC47AF"/>
    <w:rsid w:val="00DC5029"/>
    <w:rsid w:val="00DC5245"/>
    <w:rsid w:val="00DC58E2"/>
    <w:rsid w:val="00DC78A5"/>
    <w:rsid w:val="00DD35AE"/>
    <w:rsid w:val="00DD39D8"/>
    <w:rsid w:val="00DD3F8B"/>
    <w:rsid w:val="00DD4210"/>
    <w:rsid w:val="00DD52B0"/>
    <w:rsid w:val="00DD53FE"/>
    <w:rsid w:val="00DD575A"/>
    <w:rsid w:val="00DD5B2A"/>
    <w:rsid w:val="00DD5D59"/>
    <w:rsid w:val="00DD6FB2"/>
    <w:rsid w:val="00DD7364"/>
    <w:rsid w:val="00DD7ACC"/>
    <w:rsid w:val="00DD7D93"/>
    <w:rsid w:val="00DE1C46"/>
    <w:rsid w:val="00DE228C"/>
    <w:rsid w:val="00DE2635"/>
    <w:rsid w:val="00DE41B1"/>
    <w:rsid w:val="00DE4A21"/>
    <w:rsid w:val="00DE55EF"/>
    <w:rsid w:val="00DE5A09"/>
    <w:rsid w:val="00DE5EA4"/>
    <w:rsid w:val="00DE6D17"/>
    <w:rsid w:val="00DF0560"/>
    <w:rsid w:val="00DF05BB"/>
    <w:rsid w:val="00DF1796"/>
    <w:rsid w:val="00DF24AA"/>
    <w:rsid w:val="00DF289A"/>
    <w:rsid w:val="00DF3E3E"/>
    <w:rsid w:val="00DF4A2A"/>
    <w:rsid w:val="00DF5359"/>
    <w:rsid w:val="00DF796C"/>
    <w:rsid w:val="00E00165"/>
    <w:rsid w:val="00E02BF9"/>
    <w:rsid w:val="00E038EB"/>
    <w:rsid w:val="00E03F6C"/>
    <w:rsid w:val="00E045FB"/>
    <w:rsid w:val="00E04983"/>
    <w:rsid w:val="00E05A3B"/>
    <w:rsid w:val="00E05C04"/>
    <w:rsid w:val="00E0694A"/>
    <w:rsid w:val="00E06AA7"/>
    <w:rsid w:val="00E072D8"/>
    <w:rsid w:val="00E07CF9"/>
    <w:rsid w:val="00E103AB"/>
    <w:rsid w:val="00E103B9"/>
    <w:rsid w:val="00E12FAD"/>
    <w:rsid w:val="00E15DE9"/>
    <w:rsid w:val="00E1603A"/>
    <w:rsid w:val="00E16CB2"/>
    <w:rsid w:val="00E1781A"/>
    <w:rsid w:val="00E17DC3"/>
    <w:rsid w:val="00E213F2"/>
    <w:rsid w:val="00E214B1"/>
    <w:rsid w:val="00E225E6"/>
    <w:rsid w:val="00E230C5"/>
    <w:rsid w:val="00E23462"/>
    <w:rsid w:val="00E2492A"/>
    <w:rsid w:val="00E24D98"/>
    <w:rsid w:val="00E25AA2"/>
    <w:rsid w:val="00E2613B"/>
    <w:rsid w:val="00E2688A"/>
    <w:rsid w:val="00E27201"/>
    <w:rsid w:val="00E27685"/>
    <w:rsid w:val="00E277F0"/>
    <w:rsid w:val="00E27B6D"/>
    <w:rsid w:val="00E302A4"/>
    <w:rsid w:val="00E30A0B"/>
    <w:rsid w:val="00E31750"/>
    <w:rsid w:val="00E327AA"/>
    <w:rsid w:val="00E32969"/>
    <w:rsid w:val="00E33116"/>
    <w:rsid w:val="00E331CE"/>
    <w:rsid w:val="00E333F9"/>
    <w:rsid w:val="00E338A1"/>
    <w:rsid w:val="00E34D97"/>
    <w:rsid w:val="00E35C8C"/>
    <w:rsid w:val="00E35FBB"/>
    <w:rsid w:val="00E376FD"/>
    <w:rsid w:val="00E37C59"/>
    <w:rsid w:val="00E40CBB"/>
    <w:rsid w:val="00E40E7C"/>
    <w:rsid w:val="00E413F1"/>
    <w:rsid w:val="00E42D73"/>
    <w:rsid w:val="00E435DF"/>
    <w:rsid w:val="00E436DF"/>
    <w:rsid w:val="00E43ED0"/>
    <w:rsid w:val="00E44428"/>
    <w:rsid w:val="00E44ED6"/>
    <w:rsid w:val="00E45D11"/>
    <w:rsid w:val="00E46C5E"/>
    <w:rsid w:val="00E5031D"/>
    <w:rsid w:val="00E50595"/>
    <w:rsid w:val="00E528FC"/>
    <w:rsid w:val="00E533A4"/>
    <w:rsid w:val="00E5573D"/>
    <w:rsid w:val="00E614B9"/>
    <w:rsid w:val="00E61B23"/>
    <w:rsid w:val="00E62067"/>
    <w:rsid w:val="00E6219E"/>
    <w:rsid w:val="00E62D06"/>
    <w:rsid w:val="00E63B8E"/>
    <w:rsid w:val="00E641D8"/>
    <w:rsid w:val="00E64DA3"/>
    <w:rsid w:val="00E650E1"/>
    <w:rsid w:val="00E6550C"/>
    <w:rsid w:val="00E66335"/>
    <w:rsid w:val="00E666A8"/>
    <w:rsid w:val="00E6799A"/>
    <w:rsid w:val="00E67A22"/>
    <w:rsid w:val="00E70186"/>
    <w:rsid w:val="00E717A0"/>
    <w:rsid w:val="00E71E1B"/>
    <w:rsid w:val="00E725F8"/>
    <w:rsid w:val="00E72CCB"/>
    <w:rsid w:val="00E7407A"/>
    <w:rsid w:val="00E746FD"/>
    <w:rsid w:val="00E75135"/>
    <w:rsid w:val="00E7518F"/>
    <w:rsid w:val="00E755F5"/>
    <w:rsid w:val="00E773BC"/>
    <w:rsid w:val="00E802C4"/>
    <w:rsid w:val="00E83763"/>
    <w:rsid w:val="00E837E4"/>
    <w:rsid w:val="00E83C8E"/>
    <w:rsid w:val="00E841C8"/>
    <w:rsid w:val="00E84439"/>
    <w:rsid w:val="00E84F38"/>
    <w:rsid w:val="00E85584"/>
    <w:rsid w:val="00E9057C"/>
    <w:rsid w:val="00E92D51"/>
    <w:rsid w:val="00E937F8"/>
    <w:rsid w:val="00E94297"/>
    <w:rsid w:val="00E95AB4"/>
    <w:rsid w:val="00E9653E"/>
    <w:rsid w:val="00E97792"/>
    <w:rsid w:val="00E97EF9"/>
    <w:rsid w:val="00EA0F14"/>
    <w:rsid w:val="00EA14D6"/>
    <w:rsid w:val="00EA1644"/>
    <w:rsid w:val="00EA1996"/>
    <w:rsid w:val="00EA1A57"/>
    <w:rsid w:val="00EA21F9"/>
    <w:rsid w:val="00EA2E35"/>
    <w:rsid w:val="00EA3A24"/>
    <w:rsid w:val="00EA3A93"/>
    <w:rsid w:val="00EA520D"/>
    <w:rsid w:val="00EA62C3"/>
    <w:rsid w:val="00EA70AD"/>
    <w:rsid w:val="00EA72D1"/>
    <w:rsid w:val="00EB07C6"/>
    <w:rsid w:val="00EB30A3"/>
    <w:rsid w:val="00EB47FA"/>
    <w:rsid w:val="00EB4ABD"/>
    <w:rsid w:val="00EB4EE2"/>
    <w:rsid w:val="00EB56E7"/>
    <w:rsid w:val="00EB6FE6"/>
    <w:rsid w:val="00EB70EC"/>
    <w:rsid w:val="00EB75BD"/>
    <w:rsid w:val="00EC06AF"/>
    <w:rsid w:val="00EC1186"/>
    <w:rsid w:val="00EC1D57"/>
    <w:rsid w:val="00EC2167"/>
    <w:rsid w:val="00EC2972"/>
    <w:rsid w:val="00EC31DB"/>
    <w:rsid w:val="00EC347C"/>
    <w:rsid w:val="00EC352F"/>
    <w:rsid w:val="00EC4DC8"/>
    <w:rsid w:val="00EC56A4"/>
    <w:rsid w:val="00EC7F0E"/>
    <w:rsid w:val="00ED1CAC"/>
    <w:rsid w:val="00ED2574"/>
    <w:rsid w:val="00ED26A7"/>
    <w:rsid w:val="00ED2BA7"/>
    <w:rsid w:val="00ED3A92"/>
    <w:rsid w:val="00ED489F"/>
    <w:rsid w:val="00ED4BF9"/>
    <w:rsid w:val="00ED5F9D"/>
    <w:rsid w:val="00ED7B0E"/>
    <w:rsid w:val="00ED7B3E"/>
    <w:rsid w:val="00EE02C4"/>
    <w:rsid w:val="00EE02D7"/>
    <w:rsid w:val="00EE1E90"/>
    <w:rsid w:val="00EE2706"/>
    <w:rsid w:val="00EE3618"/>
    <w:rsid w:val="00EE5667"/>
    <w:rsid w:val="00EE61A6"/>
    <w:rsid w:val="00EE696B"/>
    <w:rsid w:val="00EE69B6"/>
    <w:rsid w:val="00EE6B91"/>
    <w:rsid w:val="00EE7044"/>
    <w:rsid w:val="00EE7E9D"/>
    <w:rsid w:val="00EF12AF"/>
    <w:rsid w:val="00EF1B4B"/>
    <w:rsid w:val="00EF3180"/>
    <w:rsid w:val="00EF41C4"/>
    <w:rsid w:val="00EF5A11"/>
    <w:rsid w:val="00EF6179"/>
    <w:rsid w:val="00EF6A9F"/>
    <w:rsid w:val="00EF6B06"/>
    <w:rsid w:val="00EF6C83"/>
    <w:rsid w:val="00EF7456"/>
    <w:rsid w:val="00EF7459"/>
    <w:rsid w:val="00F000BE"/>
    <w:rsid w:val="00F01395"/>
    <w:rsid w:val="00F02161"/>
    <w:rsid w:val="00F02574"/>
    <w:rsid w:val="00F02B7B"/>
    <w:rsid w:val="00F03802"/>
    <w:rsid w:val="00F039C8"/>
    <w:rsid w:val="00F03C06"/>
    <w:rsid w:val="00F04007"/>
    <w:rsid w:val="00F05169"/>
    <w:rsid w:val="00F06A76"/>
    <w:rsid w:val="00F07166"/>
    <w:rsid w:val="00F076D5"/>
    <w:rsid w:val="00F10153"/>
    <w:rsid w:val="00F10DB0"/>
    <w:rsid w:val="00F11121"/>
    <w:rsid w:val="00F1286F"/>
    <w:rsid w:val="00F14D5D"/>
    <w:rsid w:val="00F15B39"/>
    <w:rsid w:val="00F16E45"/>
    <w:rsid w:val="00F1770A"/>
    <w:rsid w:val="00F20395"/>
    <w:rsid w:val="00F207FA"/>
    <w:rsid w:val="00F21AE0"/>
    <w:rsid w:val="00F23B99"/>
    <w:rsid w:val="00F23CAC"/>
    <w:rsid w:val="00F24092"/>
    <w:rsid w:val="00F241D8"/>
    <w:rsid w:val="00F25590"/>
    <w:rsid w:val="00F31AA6"/>
    <w:rsid w:val="00F327AE"/>
    <w:rsid w:val="00F32AB2"/>
    <w:rsid w:val="00F332BA"/>
    <w:rsid w:val="00F37169"/>
    <w:rsid w:val="00F37803"/>
    <w:rsid w:val="00F37ED5"/>
    <w:rsid w:val="00F37FB8"/>
    <w:rsid w:val="00F44330"/>
    <w:rsid w:val="00F45623"/>
    <w:rsid w:val="00F45B44"/>
    <w:rsid w:val="00F4654E"/>
    <w:rsid w:val="00F50632"/>
    <w:rsid w:val="00F5086D"/>
    <w:rsid w:val="00F521F5"/>
    <w:rsid w:val="00F5263B"/>
    <w:rsid w:val="00F5270C"/>
    <w:rsid w:val="00F53262"/>
    <w:rsid w:val="00F53723"/>
    <w:rsid w:val="00F54384"/>
    <w:rsid w:val="00F569E0"/>
    <w:rsid w:val="00F60483"/>
    <w:rsid w:val="00F61E20"/>
    <w:rsid w:val="00F6233F"/>
    <w:rsid w:val="00F63037"/>
    <w:rsid w:val="00F65ED2"/>
    <w:rsid w:val="00F660F0"/>
    <w:rsid w:val="00F662E8"/>
    <w:rsid w:val="00F675D1"/>
    <w:rsid w:val="00F70C24"/>
    <w:rsid w:val="00F71845"/>
    <w:rsid w:val="00F72F5D"/>
    <w:rsid w:val="00F73A2A"/>
    <w:rsid w:val="00F73FB0"/>
    <w:rsid w:val="00F74082"/>
    <w:rsid w:val="00F7436B"/>
    <w:rsid w:val="00F744B8"/>
    <w:rsid w:val="00F751C5"/>
    <w:rsid w:val="00F75289"/>
    <w:rsid w:val="00F75435"/>
    <w:rsid w:val="00F76E6C"/>
    <w:rsid w:val="00F77011"/>
    <w:rsid w:val="00F773E5"/>
    <w:rsid w:val="00F80016"/>
    <w:rsid w:val="00F80A56"/>
    <w:rsid w:val="00F8347A"/>
    <w:rsid w:val="00F84229"/>
    <w:rsid w:val="00F84237"/>
    <w:rsid w:val="00F869E2"/>
    <w:rsid w:val="00F94C65"/>
    <w:rsid w:val="00F94FDD"/>
    <w:rsid w:val="00F95B1F"/>
    <w:rsid w:val="00F95C58"/>
    <w:rsid w:val="00F96B6B"/>
    <w:rsid w:val="00F97D61"/>
    <w:rsid w:val="00FA03DF"/>
    <w:rsid w:val="00FA1F13"/>
    <w:rsid w:val="00FA3031"/>
    <w:rsid w:val="00FA4CDA"/>
    <w:rsid w:val="00FA6403"/>
    <w:rsid w:val="00FA7591"/>
    <w:rsid w:val="00FA7A87"/>
    <w:rsid w:val="00FB04B6"/>
    <w:rsid w:val="00FB066B"/>
    <w:rsid w:val="00FB0701"/>
    <w:rsid w:val="00FB0AEA"/>
    <w:rsid w:val="00FB0BFC"/>
    <w:rsid w:val="00FB175A"/>
    <w:rsid w:val="00FB273D"/>
    <w:rsid w:val="00FB2EA5"/>
    <w:rsid w:val="00FB2EE1"/>
    <w:rsid w:val="00FB312C"/>
    <w:rsid w:val="00FB3C5D"/>
    <w:rsid w:val="00FB6622"/>
    <w:rsid w:val="00FB6A4B"/>
    <w:rsid w:val="00FC2BEC"/>
    <w:rsid w:val="00FC2EBA"/>
    <w:rsid w:val="00FC32F3"/>
    <w:rsid w:val="00FC4A85"/>
    <w:rsid w:val="00FC579B"/>
    <w:rsid w:val="00FC5D76"/>
    <w:rsid w:val="00FC7505"/>
    <w:rsid w:val="00FD00D1"/>
    <w:rsid w:val="00FD0689"/>
    <w:rsid w:val="00FD0C45"/>
    <w:rsid w:val="00FD1232"/>
    <w:rsid w:val="00FD18EC"/>
    <w:rsid w:val="00FD210E"/>
    <w:rsid w:val="00FD2B51"/>
    <w:rsid w:val="00FD3456"/>
    <w:rsid w:val="00FD4BDB"/>
    <w:rsid w:val="00FD518F"/>
    <w:rsid w:val="00FD55DA"/>
    <w:rsid w:val="00FD5AA1"/>
    <w:rsid w:val="00FD6524"/>
    <w:rsid w:val="00FD6ECD"/>
    <w:rsid w:val="00FD75ED"/>
    <w:rsid w:val="00FE0C30"/>
    <w:rsid w:val="00FE14D5"/>
    <w:rsid w:val="00FE21C0"/>
    <w:rsid w:val="00FE223B"/>
    <w:rsid w:val="00FE2270"/>
    <w:rsid w:val="00FE227F"/>
    <w:rsid w:val="00FE235A"/>
    <w:rsid w:val="00FE3089"/>
    <w:rsid w:val="00FE484A"/>
    <w:rsid w:val="00FE4912"/>
    <w:rsid w:val="00FE4E9D"/>
    <w:rsid w:val="00FE6DC3"/>
    <w:rsid w:val="00FE6F15"/>
    <w:rsid w:val="00FE6FE1"/>
    <w:rsid w:val="00FE7472"/>
    <w:rsid w:val="00FE7E47"/>
    <w:rsid w:val="00FF0C5D"/>
    <w:rsid w:val="00FF18C7"/>
    <w:rsid w:val="00FF275F"/>
    <w:rsid w:val="00FF3C9F"/>
    <w:rsid w:val="00FF4412"/>
    <w:rsid w:val="00FF452E"/>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65A"/>
  <w15:docId w15:val="{D7CB0B78-92B1-4E59-AF40-395A116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D83"/>
  </w:style>
  <w:style w:type="paragraph" w:styleId="Heading1">
    <w:name w:val="heading 1"/>
    <w:basedOn w:val="Normal"/>
    <w:next w:val="Normal"/>
    <w:link w:val="Heading1Char"/>
    <w:uiPriority w:val="1"/>
    <w:qFormat/>
    <w:rsid w:val="00590065"/>
    <w:pPr>
      <w:keepNext/>
      <w:keepLines/>
      <w:ind w:firstLine="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1"/>
    <w:unhideWhenUsed/>
    <w:qFormat/>
    <w:rsid w:val="00855D88"/>
    <w:pPr>
      <w:keepNext/>
      <w:keepLines/>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1"/>
    <w:unhideWhenUsed/>
    <w:qFormat/>
    <w:rsid w:val="00590065"/>
    <w:pPr>
      <w:keepNext/>
      <w:keepLines/>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uiPriority w:val="1"/>
    <w:unhideWhenUsed/>
    <w:qFormat/>
    <w:rsid w:val="00AC0B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paragraph" w:styleId="Heading7">
    <w:name w:val="heading 7"/>
    <w:basedOn w:val="Normal"/>
    <w:next w:val="Normal"/>
    <w:link w:val="Heading7Char"/>
    <w:uiPriority w:val="9"/>
    <w:unhideWhenUsed/>
    <w:qFormat/>
    <w:rsid w:val="00F225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sz w:val="72"/>
      <w:szCs w:val="72"/>
    </w:rPr>
  </w:style>
  <w:style w:type="character" w:customStyle="1" w:styleId="Heading1Char">
    <w:name w:val="Heading 1 Char"/>
    <w:basedOn w:val="DefaultParagraphFont"/>
    <w:link w:val="Heading1"/>
    <w:uiPriority w:val="1"/>
    <w:rsid w:val="00590065"/>
    <w:rPr>
      <w:rFonts w:eastAsiaTheme="majorEastAsia" w:cstheme="majorBidi"/>
      <w:b/>
      <w:color w:val="2E74B5" w:themeColor="accent1" w:themeShade="BF"/>
      <w:sz w:val="28"/>
      <w:szCs w:val="32"/>
    </w:rPr>
  </w:style>
  <w:style w:type="character" w:customStyle="1" w:styleId="Heading2Char">
    <w:name w:val="Heading 2 Char"/>
    <w:basedOn w:val="DefaultParagraphFont"/>
    <w:link w:val="Heading2"/>
    <w:uiPriority w:val="9"/>
    <w:rsid w:val="00855D88"/>
    <w:rPr>
      <w:rFonts w:eastAsiaTheme="majorEastAsia" w:cstheme="majorBidi"/>
      <w:b/>
      <w:color w:val="2E74B5" w:themeColor="accent1" w:themeShade="BF"/>
      <w:sz w:val="28"/>
      <w:szCs w:val="26"/>
    </w:rPr>
  </w:style>
  <w:style w:type="character" w:customStyle="1" w:styleId="Heading3Char">
    <w:name w:val="Heading 3 Char"/>
    <w:basedOn w:val="DefaultParagraphFont"/>
    <w:link w:val="Heading3"/>
    <w:uiPriority w:val="1"/>
    <w:rsid w:val="00590065"/>
    <w:rPr>
      <w:rFonts w:eastAsiaTheme="majorEastAsia" w:cstheme="majorBidi"/>
      <w:b/>
      <w:i/>
      <w:color w:val="1F4D78" w:themeColor="accent1" w:themeShade="7F"/>
      <w:sz w:val="28"/>
      <w:szCs w:val="24"/>
    </w:rPr>
  </w:style>
  <w:style w:type="character" w:customStyle="1" w:styleId="Heading4Char">
    <w:name w:val="Heading 4 Char"/>
    <w:basedOn w:val="DefaultParagraphFont"/>
    <w:link w:val="Heading4"/>
    <w:uiPriority w:val="1"/>
    <w:rsid w:val="00AC0BE1"/>
    <w:rPr>
      <w:rFonts w:asciiTheme="majorHAnsi" w:eastAsiaTheme="majorEastAsia" w:hAnsiTheme="majorHAnsi" w:cstheme="majorBidi"/>
      <w:b/>
      <w:i/>
      <w:iCs/>
      <w:color w:val="2E74B5" w:themeColor="accent1" w:themeShade="BF"/>
      <w:sz w:val="22"/>
      <w:szCs w:val="20"/>
    </w:rPr>
  </w:style>
  <w:style w:type="paragraph" w:styleId="TOC1">
    <w:name w:val="toc 1"/>
    <w:basedOn w:val="Normal"/>
    <w:next w:val="Normal"/>
    <w:autoRedefine/>
    <w:uiPriority w:val="39"/>
    <w:unhideWhenUsed/>
    <w:qFormat/>
    <w:rsid w:val="00B14A51"/>
    <w:pPr>
      <w:tabs>
        <w:tab w:val="right" w:leader="dot" w:pos="9395"/>
      </w:tabs>
      <w:spacing w:after="100"/>
      <w:ind w:firstLine="0"/>
    </w:pPr>
    <w:rPr>
      <w:b/>
      <w:noProof/>
    </w:rPr>
  </w:style>
  <w:style w:type="paragraph" w:styleId="TOC2">
    <w:name w:val="toc 2"/>
    <w:basedOn w:val="Normal"/>
    <w:next w:val="Normal"/>
    <w:autoRedefine/>
    <w:uiPriority w:val="39"/>
    <w:unhideWhenUsed/>
    <w:qFormat/>
    <w:rsid w:val="006A330E"/>
    <w:pPr>
      <w:tabs>
        <w:tab w:val="right" w:leader="dot" w:pos="9395"/>
      </w:tabs>
      <w:ind w:firstLine="851"/>
    </w:pPr>
    <w:rPr>
      <w:noProof/>
    </w:rPr>
  </w:style>
  <w:style w:type="paragraph" w:styleId="TOC3">
    <w:name w:val="toc 3"/>
    <w:basedOn w:val="Normal"/>
    <w:next w:val="Normal"/>
    <w:autoRedefine/>
    <w:uiPriority w:val="39"/>
    <w:unhideWhenUsed/>
    <w:qFormat/>
    <w:rsid w:val="00AC0BE1"/>
    <w:pPr>
      <w:tabs>
        <w:tab w:val="right" w:leader="dot" w:pos="9395"/>
      </w:tabs>
      <w:spacing w:after="100"/>
      <w:ind w:firstLine="851"/>
    </w:pPr>
  </w:style>
  <w:style w:type="paragraph" w:styleId="FootnoteText">
    <w:name w:val="footnote text"/>
    <w:basedOn w:val="Normal"/>
    <w:link w:val="FootnoteTextChar"/>
    <w:uiPriority w:val="99"/>
    <w:unhideWhenUsed/>
    <w:rsid w:val="00AC0BE1"/>
    <w:pPr>
      <w:spacing w:line="240" w:lineRule="auto"/>
      <w:ind w:firstLine="0"/>
      <w:jc w:val="left"/>
    </w:pPr>
    <w:rPr>
      <w:sz w:val="20"/>
    </w:rPr>
  </w:style>
  <w:style w:type="character" w:customStyle="1" w:styleId="FootnoteTextChar">
    <w:name w:val="Footnote Text Char"/>
    <w:basedOn w:val="DefaultParagraphFont"/>
    <w:link w:val="FootnoteText"/>
    <w:uiPriority w:val="99"/>
    <w:rsid w:val="00AC0BE1"/>
    <w:rPr>
      <w:b/>
      <w:sz w:val="20"/>
      <w:szCs w:val="20"/>
    </w:rPr>
  </w:style>
  <w:style w:type="paragraph" w:styleId="Header">
    <w:name w:val="header"/>
    <w:basedOn w:val="Normal"/>
    <w:link w:val="HeaderChar"/>
    <w:uiPriority w:val="99"/>
    <w:unhideWhenUsed/>
    <w:rsid w:val="00AC0BE1"/>
    <w:pPr>
      <w:tabs>
        <w:tab w:val="center" w:pos="4680"/>
        <w:tab w:val="right" w:pos="9360"/>
      </w:tabs>
      <w:spacing w:line="240" w:lineRule="auto"/>
    </w:pPr>
  </w:style>
  <w:style w:type="character" w:customStyle="1" w:styleId="HeaderChar">
    <w:name w:val="Header Char"/>
    <w:basedOn w:val="DefaultParagraphFont"/>
    <w:link w:val="Header"/>
    <w:uiPriority w:val="99"/>
    <w:rsid w:val="00AC0BE1"/>
    <w:rPr>
      <w:b/>
      <w:sz w:val="22"/>
      <w:szCs w:val="20"/>
    </w:rPr>
  </w:style>
  <w:style w:type="paragraph" w:styleId="Footer">
    <w:name w:val="footer"/>
    <w:basedOn w:val="Normal"/>
    <w:link w:val="FooterChar"/>
    <w:uiPriority w:val="99"/>
    <w:unhideWhenUsed/>
    <w:rsid w:val="00AC0BE1"/>
    <w:pPr>
      <w:tabs>
        <w:tab w:val="center" w:pos="4680"/>
        <w:tab w:val="right" w:pos="9360"/>
      </w:tabs>
      <w:spacing w:line="240" w:lineRule="auto"/>
    </w:pPr>
  </w:style>
  <w:style w:type="character" w:customStyle="1" w:styleId="FooterChar">
    <w:name w:val="Footer Char"/>
    <w:basedOn w:val="DefaultParagraphFont"/>
    <w:link w:val="Footer"/>
    <w:uiPriority w:val="99"/>
    <w:rsid w:val="00AC0BE1"/>
    <w:rPr>
      <w:b/>
      <w:sz w:val="22"/>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AC0BE1"/>
    <w:rPr>
      <w:vertAlign w:val="superscript"/>
    </w:rPr>
  </w:style>
  <w:style w:type="character" w:styleId="EndnoteReference">
    <w:name w:val="endnote reference"/>
    <w:basedOn w:val="DefaultParagraphFont"/>
    <w:uiPriority w:val="99"/>
    <w:semiHidden/>
    <w:unhideWhenUsed/>
    <w:rsid w:val="00AC0BE1"/>
    <w:rPr>
      <w:vertAlign w:val="superscript"/>
    </w:rPr>
  </w:style>
  <w:style w:type="paragraph" w:styleId="EndnoteText">
    <w:name w:val="endnote text"/>
    <w:basedOn w:val="Normal"/>
    <w:link w:val="EndnoteTextChar"/>
    <w:uiPriority w:val="99"/>
    <w:semiHidden/>
    <w:unhideWhenUsed/>
    <w:rsid w:val="00AC0BE1"/>
    <w:pPr>
      <w:spacing w:line="240" w:lineRule="auto"/>
    </w:pPr>
    <w:rPr>
      <w:sz w:val="20"/>
    </w:rPr>
  </w:style>
  <w:style w:type="character" w:customStyle="1" w:styleId="EndnoteTextChar">
    <w:name w:val="Endnote Text Char"/>
    <w:basedOn w:val="DefaultParagraphFont"/>
    <w:link w:val="EndnoteText"/>
    <w:uiPriority w:val="99"/>
    <w:semiHidden/>
    <w:rsid w:val="00AC0BE1"/>
    <w:rPr>
      <w:b/>
      <w:sz w:val="20"/>
      <w:szCs w:val="20"/>
    </w:rPr>
  </w:style>
  <w:style w:type="character" w:styleId="Hyperlink">
    <w:name w:val="Hyperlink"/>
    <w:basedOn w:val="DefaultParagraphFont"/>
    <w:uiPriority w:val="99"/>
    <w:unhideWhenUsed/>
    <w:rsid w:val="00AC0BE1"/>
    <w:rPr>
      <w:color w:val="0563C1" w:themeColor="hyperlink"/>
      <w:u w:val="single"/>
    </w:rPr>
  </w:style>
  <w:style w:type="paragraph" w:styleId="ListParagraph">
    <w:name w:val="List Paragraph"/>
    <w:basedOn w:val="Normal"/>
    <w:uiPriority w:val="34"/>
    <w:qFormat/>
    <w:rsid w:val="00AC0BE1"/>
    <w:pPr>
      <w:ind w:left="720"/>
      <w:contextualSpacing/>
    </w:pPr>
  </w:style>
  <w:style w:type="paragraph" w:styleId="TOCHeading">
    <w:name w:val="TOC Heading"/>
    <w:basedOn w:val="Heading1"/>
    <w:next w:val="Normal"/>
    <w:uiPriority w:val="39"/>
    <w:unhideWhenUsed/>
    <w:qFormat/>
    <w:rsid w:val="00AC0BE1"/>
    <w:pPr>
      <w:spacing w:line="259" w:lineRule="auto"/>
      <w:jc w:val="left"/>
      <w:outlineLvl w:val="9"/>
    </w:pPr>
  </w:style>
  <w:style w:type="table" w:styleId="TableGrid">
    <w:name w:val="Table Grid"/>
    <w:basedOn w:val="TableNormal"/>
    <w:uiPriority w:val="39"/>
    <w:rsid w:val="003E4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
    <w:pPr>
      <w:spacing w:line="240" w:lineRule="auto"/>
    </w:pPr>
    <w:tblPr>
      <w:tblStyleRowBandSize w:val="1"/>
      <w:tblStyleColBandSize w:val="1"/>
    </w:tblPr>
  </w:style>
  <w:style w:type="table" w:customStyle="1" w:styleId="60">
    <w:name w:val="60"/>
    <w:basedOn w:val="TableNormal"/>
    <w:pPr>
      <w:spacing w:line="240" w:lineRule="auto"/>
    </w:pPr>
    <w:tblPr>
      <w:tblStyleRowBandSize w:val="1"/>
      <w:tblStyleColBandSize w:val="1"/>
    </w:tblPr>
  </w:style>
  <w:style w:type="table" w:customStyle="1" w:styleId="59">
    <w:name w:val="59"/>
    <w:basedOn w:val="TableNormal"/>
    <w:pPr>
      <w:spacing w:line="240" w:lineRule="auto"/>
    </w:pPr>
    <w:tblPr>
      <w:tblStyleRowBandSize w:val="1"/>
      <w:tblStyleColBandSize w:val="1"/>
    </w:tblPr>
  </w:style>
  <w:style w:type="table" w:customStyle="1" w:styleId="58">
    <w:name w:val="58"/>
    <w:basedOn w:val="TableNormal"/>
    <w:pPr>
      <w:spacing w:line="240" w:lineRule="auto"/>
    </w:pPr>
    <w:tblPr>
      <w:tblStyleRowBandSize w:val="1"/>
      <w:tblStyleColBandSize w:val="1"/>
    </w:tblPr>
  </w:style>
  <w:style w:type="table" w:customStyle="1" w:styleId="57">
    <w:name w:val="57"/>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BF2E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DC"/>
    <w:rPr>
      <w:rFonts w:ascii="Segoe UI" w:hAnsi="Segoe UI" w:cs="Segoe UI"/>
      <w:sz w:val="18"/>
      <w:szCs w:val="18"/>
    </w:rPr>
  </w:style>
  <w:style w:type="table" w:customStyle="1" w:styleId="56">
    <w:name w:val="56"/>
    <w:basedOn w:val="TableNormal"/>
    <w:pPr>
      <w:spacing w:line="240" w:lineRule="auto"/>
    </w:pPr>
    <w:tblPr>
      <w:tblStyleRowBandSize w:val="1"/>
      <w:tblStyleColBandSize w:val="1"/>
    </w:tblPr>
  </w:style>
  <w:style w:type="paragraph" w:styleId="NoSpacing">
    <w:name w:val="No Spacing"/>
    <w:uiPriority w:val="1"/>
    <w:qFormat/>
    <w:rsid w:val="00D90A47"/>
    <w:pPr>
      <w:spacing w:line="240" w:lineRule="auto"/>
    </w:pPr>
  </w:style>
  <w:style w:type="table" w:customStyle="1" w:styleId="55">
    <w:name w:val="55"/>
    <w:basedOn w:val="TableNormal"/>
    <w:pPr>
      <w:spacing w:line="240" w:lineRule="auto"/>
    </w:pPr>
    <w:tblPr>
      <w:tblStyleRowBandSize w:val="1"/>
      <w:tblStyleColBandSize w:val="1"/>
    </w:tblPr>
  </w:style>
  <w:style w:type="table" w:customStyle="1" w:styleId="54">
    <w:name w:val="54"/>
    <w:basedOn w:val="TableNormal"/>
    <w:pPr>
      <w:spacing w:line="240" w:lineRule="auto"/>
    </w:pPr>
    <w:tblPr>
      <w:tblStyleRowBandSize w:val="1"/>
      <w:tblStyleColBandSize w:val="1"/>
    </w:tblPr>
  </w:style>
  <w:style w:type="table" w:customStyle="1" w:styleId="53">
    <w:name w:val="53"/>
    <w:basedOn w:val="TableNormal"/>
    <w:pPr>
      <w:spacing w:line="240" w:lineRule="auto"/>
    </w:pPr>
    <w:tblPr>
      <w:tblStyleRowBandSize w:val="1"/>
      <w:tblStyleColBandSize w:val="1"/>
    </w:tblPr>
  </w:style>
  <w:style w:type="table" w:customStyle="1" w:styleId="52">
    <w:name w:val="52"/>
    <w:basedOn w:val="TableNormal"/>
    <w:pPr>
      <w:spacing w:line="240" w:lineRule="auto"/>
    </w:pPr>
    <w:tblPr>
      <w:tblStyleRowBandSize w:val="1"/>
      <w:tblStyleColBandSize w:val="1"/>
    </w:tblPr>
  </w:style>
  <w:style w:type="table" w:customStyle="1" w:styleId="51">
    <w:name w:val="51"/>
    <w:basedOn w:val="TableNormal"/>
    <w:pPr>
      <w:spacing w:line="240" w:lineRule="auto"/>
    </w:pPr>
    <w:tblPr>
      <w:tblStyleRowBandSize w:val="1"/>
      <w:tblStyleColBandSize w:val="1"/>
    </w:tblPr>
  </w:style>
  <w:style w:type="table" w:customStyle="1" w:styleId="50">
    <w:name w:val="50"/>
    <w:basedOn w:val="TableNormal"/>
    <w:pPr>
      <w:spacing w:line="240" w:lineRule="auto"/>
    </w:pPr>
    <w:tblPr>
      <w:tblStyleRowBandSize w:val="1"/>
      <w:tblStyleColBandSize w:val="1"/>
    </w:tblPr>
  </w:style>
  <w:style w:type="table" w:customStyle="1" w:styleId="49">
    <w:name w:val="49"/>
    <w:basedOn w:val="TableNormal"/>
    <w:pPr>
      <w:spacing w:line="240" w:lineRule="auto"/>
    </w:pPr>
    <w:tblPr>
      <w:tblStyleRowBandSize w:val="1"/>
      <w:tblStyleColBandSize w:val="1"/>
    </w:tblPr>
  </w:style>
  <w:style w:type="table" w:customStyle="1" w:styleId="48">
    <w:name w:val="48"/>
    <w:basedOn w:val="TableNormal"/>
    <w:pPr>
      <w:spacing w:line="240" w:lineRule="auto"/>
    </w:pPr>
    <w:tblPr>
      <w:tblStyleRowBandSize w:val="1"/>
      <w:tblStyleColBandSize w:val="1"/>
    </w:tblPr>
  </w:style>
  <w:style w:type="table" w:customStyle="1" w:styleId="47">
    <w:name w:val="47"/>
    <w:basedOn w:val="TableNormal"/>
    <w:pPr>
      <w:spacing w:line="240" w:lineRule="auto"/>
    </w:pPr>
    <w:tblPr>
      <w:tblStyleRowBandSize w:val="1"/>
      <w:tblStyleColBandSize w:val="1"/>
    </w:tblPr>
  </w:style>
  <w:style w:type="table" w:customStyle="1" w:styleId="46">
    <w:name w:val="46"/>
    <w:basedOn w:val="TableNormal"/>
    <w:pPr>
      <w:spacing w:line="240" w:lineRule="auto"/>
    </w:pPr>
    <w:tblPr>
      <w:tblStyleRowBandSize w:val="1"/>
      <w:tblStyleColBandSize w:val="1"/>
    </w:tblPr>
  </w:style>
  <w:style w:type="table" w:customStyle="1" w:styleId="45">
    <w:name w:val="45"/>
    <w:basedOn w:val="TableNormal"/>
    <w:pPr>
      <w:spacing w:line="240" w:lineRule="auto"/>
    </w:pPr>
    <w:tblPr>
      <w:tblStyleRowBandSize w:val="1"/>
      <w:tblStyleColBandSize w:val="1"/>
    </w:tblPr>
  </w:style>
  <w:style w:type="table" w:customStyle="1" w:styleId="44">
    <w:name w:val="44"/>
    <w:basedOn w:val="TableNormal"/>
    <w:pPr>
      <w:spacing w:line="240" w:lineRule="auto"/>
    </w:pPr>
    <w:tblPr>
      <w:tblStyleRowBandSize w:val="1"/>
      <w:tblStyleColBandSize w:val="1"/>
    </w:tblPr>
  </w:style>
  <w:style w:type="table" w:customStyle="1" w:styleId="43">
    <w:name w:val="43"/>
    <w:basedOn w:val="TableNormal"/>
    <w:pPr>
      <w:spacing w:line="240" w:lineRule="auto"/>
    </w:pPr>
    <w:tblPr>
      <w:tblStyleRowBandSize w:val="1"/>
      <w:tblStyleColBandSize w:val="1"/>
    </w:tblPr>
  </w:style>
  <w:style w:type="table" w:customStyle="1" w:styleId="42">
    <w:name w:val="42"/>
    <w:basedOn w:val="TableNormal"/>
    <w:pPr>
      <w:spacing w:line="240" w:lineRule="auto"/>
    </w:pPr>
    <w:tblPr>
      <w:tblStyleRowBandSize w:val="1"/>
      <w:tblStyleColBandSize w:val="1"/>
    </w:tblPr>
  </w:style>
  <w:style w:type="table" w:customStyle="1" w:styleId="41">
    <w:name w:val="41"/>
    <w:basedOn w:val="TableNormal"/>
    <w:pPr>
      <w:spacing w:line="240" w:lineRule="auto"/>
    </w:pPr>
    <w:tblPr>
      <w:tblStyleRowBandSize w:val="1"/>
      <w:tblStyleColBandSize w:val="1"/>
    </w:tblPr>
  </w:style>
  <w:style w:type="table" w:customStyle="1" w:styleId="40">
    <w:name w:val="40"/>
    <w:basedOn w:val="TableNormal"/>
    <w:pPr>
      <w:spacing w:line="240" w:lineRule="auto"/>
    </w:pPr>
    <w:tblPr>
      <w:tblStyleRowBandSize w:val="1"/>
      <w:tblStyleColBandSize w:val="1"/>
    </w:tblPr>
  </w:style>
  <w:style w:type="table" w:customStyle="1" w:styleId="39">
    <w:name w:val="39"/>
    <w:basedOn w:val="TableNormal"/>
    <w:pPr>
      <w:spacing w:line="240" w:lineRule="auto"/>
    </w:pPr>
    <w:tblPr>
      <w:tblStyleRowBandSize w:val="1"/>
      <w:tblStyleColBandSize w:val="1"/>
    </w:tblPr>
  </w:style>
  <w:style w:type="table" w:customStyle="1" w:styleId="38">
    <w:name w:val="38"/>
    <w:basedOn w:val="TableNormal"/>
    <w:pPr>
      <w:spacing w:line="240" w:lineRule="auto"/>
    </w:pPr>
    <w:tblPr>
      <w:tblStyleRowBandSize w:val="1"/>
      <w:tblStyleColBandSize w:val="1"/>
    </w:tblPr>
  </w:style>
  <w:style w:type="table" w:customStyle="1" w:styleId="37">
    <w:name w:val="37"/>
    <w:basedOn w:val="TableNormal"/>
    <w:pPr>
      <w:spacing w:line="240" w:lineRule="auto"/>
    </w:pPr>
    <w:tblPr>
      <w:tblStyleRowBandSize w:val="1"/>
      <w:tblStyleColBandSize w:val="1"/>
    </w:tblPr>
  </w:style>
  <w:style w:type="character" w:customStyle="1" w:styleId="Other">
    <w:name w:val="Other_"/>
    <w:basedOn w:val="DefaultParagraphFont"/>
    <w:link w:val="Other0"/>
    <w:rsid w:val="0058677F"/>
    <w:rPr>
      <w:sz w:val="28"/>
      <w:szCs w:val="28"/>
    </w:rPr>
  </w:style>
  <w:style w:type="paragraph" w:customStyle="1" w:styleId="Other0">
    <w:name w:val="Other"/>
    <w:basedOn w:val="Normal"/>
    <w:link w:val="Other"/>
    <w:rsid w:val="0058677F"/>
    <w:pPr>
      <w:widowControl w:val="0"/>
      <w:spacing w:after="120"/>
      <w:ind w:firstLine="400"/>
      <w:jc w:val="left"/>
    </w:pPr>
  </w:style>
  <w:style w:type="character" w:customStyle="1" w:styleId="Heading7Char">
    <w:name w:val="Heading 7 Char"/>
    <w:basedOn w:val="DefaultParagraphFont"/>
    <w:link w:val="Heading7"/>
    <w:uiPriority w:val="9"/>
    <w:rsid w:val="00F225FD"/>
    <w:rPr>
      <w:rFonts w:asciiTheme="majorHAnsi" w:eastAsiaTheme="majorEastAsia" w:hAnsiTheme="majorHAnsi" w:cstheme="majorBidi"/>
      <w:i/>
      <w:iCs/>
      <w:color w:val="1F4D78" w:themeColor="accent1" w:themeShade="7F"/>
    </w:rPr>
  </w:style>
  <w:style w:type="character" w:customStyle="1" w:styleId="fontstyle01">
    <w:name w:val="fontstyle01"/>
    <w:basedOn w:val="DefaultParagraphFont"/>
    <w:rsid w:val="00336D4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386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B5386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B5386B"/>
    <w:rPr>
      <w:rFonts w:ascii="Times New Roman" w:hAnsi="Times New Roman" w:cs="Times New Roman" w:hint="default"/>
      <w:b/>
      <w:bCs/>
      <w:i/>
      <w:iCs/>
      <w:color w:val="000000"/>
      <w:sz w:val="28"/>
      <w:szCs w:val="28"/>
    </w:rPr>
  </w:style>
  <w:style w:type="table" w:customStyle="1" w:styleId="36">
    <w:name w:val="36"/>
    <w:basedOn w:val="TableNormal"/>
    <w:pPr>
      <w:spacing w:line="240" w:lineRule="auto"/>
    </w:pPr>
    <w:tblPr>
      <w:tblStyleRowBandSize w:val="1"/>
      <w:tblStyleColBandSize w:val="1"/>
    </w:tblPr>
  </w:style>
  <w:style w:type="table" w:customStyle="1" w:styleId="35">
    <w:name w:val="35"/>
    <w:basedOn w:val="TableNormal"/>
    <w:pPr>
      <w:spacing w:line="240" w:lineRule="auto"/>
    </w:pPr>
    <w:tblPr>
      <w:tblStyleRowBandSize w:val="1"/>
      <w:tblStyleColBandSize w:val="1"/>
    </w:tblPr>
  </w:style>
  <w:style w:type="table" w:customStyle="1" w:styleId="34">
    <w:name w:val="34"/>
    <w:basedOn w:val="TableNormal"/>
    <w:pPr>
      <w:spacing w:line="240" w:lineRule="auto"/>
    </w:pPr>
    <w:tblPr>
      <w:tblStyleRowBandSize w:val="1"/>
      <w:tblStyleColBandSize w:val="1"/>
    </w:tblPr>
  </w:style>
  <w:style w:type="table" w:customStyle="1" w:styleId="33">
    <w:name w:val="33"/>
    <w:basedOn w:val="TableNormal"/>
    <w:pPr>
      <w:spacing w:line="240" w:lineRule="auto"/>
    </w:pPr>
    <w:tblPr>
      <w:tblStyleRowBandSize w:val="1"/>
      <w:tblStyleColBandSize w:val="1"/>
    </w:tblPr>
  </w:style>
  <w:style w:type="character" w:customStyle="1" w:styleId="BodyTextChar">
    <w:name w:val="Body Text Char"/>
    <w:basedOn w:val="DefaultParagraphFont"/>
    <w:link w:val="BodyText"/>
    <w:uiPriority w:val="1"/>
    <w:rsid w:val="00DF2512"/>
    <w:rPr>
      <w:sz w:val="28"/>
      <w:szCs w:val="28"/>
    </w:rPr>
  </w:style>
  <w:style w:type="character" w:customStyle="1" w:styleId="Bodytext3">
    <w:name w:val="Body text (3)_"/>
    <w:basedOn w:val="DefaultParagraphFont"/>
    <w:link w:val="Bodytext30"/>
    <w:rsid w:val="00DF2512"/>
    <w:rPr>
      <w:b/>
      <w:bCs/>
      <w:sz w:val="54"/>
      <w:szCs w:val="54"/>
    </w:rPr>
  </w:style>
  <w:style w:type="character" w:customStyle="1" w:styleId="Bodytext4">
    <w:name w:val="Body text (4)_"/>
    <w:basedOn w:val="DefaultParagraphFont"/>
    <w:link w:val="Bodytext40"/>
    <w:rsid w:val="00DF2512"/>
    <w:rPr>
      <w:b/>
      <w:bCs/>
      <w:sz w:val="40"/>
      <w:szCs w:val="40"/>
    </w:rPr>
  </w:style>
  <w:style w:type="character" w:customStyle="1" w:styleId="Heading10">
    <w:name w:val="Heading #1_"/>
    <w:basedOn w:val="DefaultParagraphFont"/>
    <w:link w:val="Heading11"/>
    <w:rsid w:val="00DF2512"/>
    <w:rPr>
      <w:b/>
      <w:bCs/>
      <w:sz w:val="28"/>
      <w:szCs w:val="28"/>
    </w:rPr>
  </w:style>
  <w:style w:type="character" w:customStyle="1" w:styleId="Tableofcontents">
    <w:name w:val="Table of contents_"/>
    <w:basedOn w:val="DefaultParagraphFont"/>
    <w:link w:val="Tableofcontents0"/>
    <w:rsid w:val="00DF2512"/>
    <w:rPr>
      <w:sz w:val="28"/>
      <w:szCs w:val="28"/>
    </w:rPr>
  </w:style>
  <w:style w:type="character" w:customStyle="1" w:styleId="Bodytext5">
    <w:name w:val="Body text (5)_"/>
    <w:basedOn w:val="DefaultParagraphFont"/>
    <w:link w:val="Bodytext50"/>
    <w:rsid w:val="00DF2512"/>
    <w:rPr>
      <w:b/>
      <w:bCs/>
      <w:sz w:val="32"/>
      <w:szCs w:val="32"/>
    </w:rPr>
  </w:style>
  <w:style w:type="character" w:customStyle="1" w:styleId="Bodytext2">
    <w:name w:val="Body text (2)_"/>
    <w:basedOn w:val="DefaultParagraphFont"/>
    <w:link w:val="Bodytext20"/>
    <w:rsid w:val="00DF2512"/>
  </w:style>
  <w:style w:type="character" w:customStyle="1" w:styleId="Tablecaption">
    <w:name w:val="Table caption_"/>
    <w:basedOn w:val="DefaultParagraphFont"/>
    <w:link w:val="Tablecaption0"/>
    <w:rsid w:val="00DF2512"/>
    <w:rPr>
      <w:b/>
      <w:bCs/>
    </w:rPr>
  </w:style>
  <w:style w:type="paragraph" w:styleId="BodyText">
    <w:name w:val="Body Text"/>
    <w:basedOn w:val="Normal"/>
    <w:link w:val="BodyTextChar"/>
    <w:uiPriority w:val="1"/>
    <w:rsid w:val="00DF2512"/>
    <w:pPr>
      <w:widowControl w:val="0"/>
      <w:ind w:firstLine="400"/>
      <w:jc w:val="left"/>
    </w:pPr>
  </w:style>
  <w:style w:type="character" w:customStyle="1" w:styleId="BodyTextChar1">
    <w:name w:val="Body Text Char1"/>
    <w:basedOn w:val="DefaultParagraphFont"/>
    <w:uiPriority w:val="99"/>
    <w:semiHidden/>
    <w:rsid w:val="00DF2512"/>
  </w:style>
  <w:style w:type="paragraph" w:customStyle="1" w:styleId="Bodytext30">
    <w:name w:val="Body text (3)"/>
    <w:basedOn w:val="Normal"/>
    <w:link w:val="Bodytext3"/>
    <w:rsid w:val="00DF2512"/>
    <w:pPr>
      <w:widowControl w:val="0"/>
      <w:spacing w:after="1370" w:line="240" w:lineRule="auto"/>
      <w:ind w:firstLine="0"/>
      <w:jc w:val="center"/>
    </w:pPr>
    <w:rPr>
      <w:b/>
      <w:bCs/>
      <w:sz w:val="54"/>
      <w:szCs w:val="54"/>
    </w:rPr>
  </w:style>
  <w:style w:type="paragraph" w:customStyle="1" w:styleId="Bodytext40">
    <w:name w:val="Body text (4)"/>
    <w:basedOn w:val="Normal"/>
    <w:link w:val="Bodytext4"/>
    <w:rsid w:val="00DF2512"/>
    <w:pPr>
      <w:widowControl w:val="0"/>
      <w:spacing w:after="730" w:line="240" w:lineRule="auto"/>
      <w:ind w:firstLine="0"/>
      <w:jc w:val="center"/>
    </w:pPr>
    <w:rPr>
      <w:b/>
      <w:bCs/>
      <w:sz w:val="40"/>
      <w:szCs w:val="40"/>
    </w:rPr>
  </w:style>
  <w:style w:type="paragraph" w:customStyle="1" w:styleId="Heading11">
    <w:name w:val="Heading #1"/>
    <w:basedOn w:val="Normal"/>
    <w:link w:val="Heading10"/>
    <w:rsid w:val="00DF2512"/>
    <w:pPr>
      <w:widowControl w:val="0"/>
      <w:ind w:firstLine="740"/>
      <w:jc w:val="left"/>
      <w:outlineLvl w:val="0"/>
    </w:pPr>
    <w:rPr>
      <w:b/>
      <w:bCs/>
    </w:rPr>
  </w:style>
  <w:style w:type="paragraph" w:customStyle="1" w:styleId="Tableofcontents0">
    <w:name w:val="Table of contents"/>
    <w:basedOn w:val="Normal"/>
    <w:link w:val="Tableofcontents"/>
    <w:rsid w:val="00DF2512"/>
    <w:pPr>
      <w:widowControl w:val="0"/>
      <w:ind w:firstLine="0"/>
      <w:jc w:val="left"/>
    </w:pPr>
  </w:style>
  <w:style w:type="paragraph" w:customStyle="1" w:styleId="Bodytext50">
    <w:name w:val="Body text (5)"/>
    <w:basedOn w:val="Normal"/>
    <w:link w:val="Bodytext5"/>
    <w:rsid w:val="00DF2512"/>
    <w:pPr>
      <w:widowControl w:val="0"/>
      <w:spacing w:after="400"/>
      <w:ind w:firstLine="0"/>
      <w:jc w:val="center"/>
    </w:pPr>
    <w:rPr>
      <w:b/>
      <w:bCs/>
      <w:sz w:val="32"/>
      <w:szCs w:val="32"/>
    </w:rPr>
  </w:style>
  <w:style w:type="paragraph" w:customStyle="1" w:styleId="Bodytext20">
    <w:name w:val="Body text (2)"/>
    <w:basedOn w:val="Normal"/>
    <w:link w:val="Bodytext2"/>
    <w:rsid w:val="00DF2512"/>
    <w:pPr>
      <w:widowControl w:val="0"/>
      <w:spacing w:line="202" w:lineRule="auto"/>
      <w:ind w:left="520" w:firstLine="0"/>
      <w:jc w:val="left"/>
    </w:pPr>
  </w:style>
  <w:style w:type="paragraph" w:customStyle="1" w:styleId="Tablecaption0">
    <w:name w:val="Table caption"/>
    <w:basedOn w:val="Normal"/>
    <w:link w:val="Tablecaption"/>
    <w:rsid w:val="00DF2512"/>
    <w:pPr>
      <w:widowControl w:val="0"/>
      <w:spacing w:line="240" w:lineRule="auto"/>
      <w:ind w:firstLine="0"/>
      <w:jc w:val="left"/>
    </w:pPr>
    <w:rPr>
      <w:b/>
      <w:bCs/>
    </w:rPr>
  </w:style>
  <w:style w:type="character" w:customStyle="1" w:styleId="Heading20">
    <w:name w:val="Heading #2_"/>
    <w:basedOn w:val="DefaultParagraphFont"/>
    <w:link w:val="Heading21"/>
    <w:rsid w:val="00982E6F"/>
    <w:rPr>
      <w:b/>
      <w:bCs/>
      <w:i/>
      <w:iCs/>
      <w:sz w:val="28"/>
      <w:szCs w:val="28"/>
    </w:rPr>
  </w:style>
  <w:style w:type="paragraph" w:customStyle="1" w:styleId="Heading21">
    <w:name w:val="Heading #2"/>
    <w:basedOn w:val="Normal"/>
    <w:link w:val="Heading20"/>
    <w:rsid w:val="00982E6F"/>
    <w:pPr>
      <w:widowControl w:val="0"/>
      <w:ind w:firstLine="580"/>
      <w:jc w:val="left"/>
      <w:outlineLvl w:val="1"/>
    </w:pPr>
    <w:rPr>
      <w:b/>
      <w:bCs/>
      <w:i/>
      <w:iCs/>
    </w:rPr>
  </w:style>
  <w:style w:type="table" w:customStyle="1" w:styleId="32">
    <w:name w:val="32"/>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
    <w:rsid w:val="003E16E2"/>
    <w:rPr>
      <w:sz w:val="72"/>
      <w:szCs w:val="72"/>
    </w:rPr>
  </w:style>
  <w:style w:type="paragraph" w:customStyle="1" w:styleId="TableParagraph">
    <w:name w:val="Table Paragraph"/>
    <w:basedOn w:val="Normal"/>
    <w:uiPriority w:val="1"/>
    <w:qFormat/>
    <w:rsid w:val="003E16E2"/>
    <w:pPr>
      <w:widowControl w:val="0"/>
      <w:autoSpaceDE w:val="0"/>
      <w:autoSpaceDN w:val="0"/>
      <w:spacing w:line="298" w:lineRule="exact"/>
      <w:ind w:left="107" w:firstLine="0"/>
      <w:jc w:val="left"/>
    </w:pPr>
    <w:rPr>
      <w:sz w:val="22"/>
      <w:szCs w:val="22"/>
      <w:lang w:val="vi"/>
    </w:rPr>
  </w:style>
  <w:style w:type="table" w:customStyle="1" w:styleId="31">
    <w:name w:val="31"/>
    <w:basedOn w:val="TableNormal"/>
    <w:pPr>
      <w:spacing w:line="240" w:lineRule="auto"/>
    </w:pPr>
    <w:tblPr>
      <w:tblStyleRowBandSize w:val="1"/>
      <w:tblStyleColBandSize w:val="1"/>
    </w:tblPr>
  </w:style>
  <w:style w:type="paragraph" w:styleId="TOC4">
    <w:name w:val="toc 4"/>
    <w:basedOn w:val="Normal"/>
    <w:next w:val="Normal"/>
    <w:autoRedefine/>
    <w:uiPriority w:val="1"/>
    <w:unhideWhenUsed/>
    <w:qFormat/>
    <w:rsid w:val="00367E73"/>
    <w:pPr>
      <w:spacing w:after="100"/>
      <w:ind w:left="840"/>
    </w:pPr>
  </w:style>
  <w:style w:type="numbering" w:customStyle="1" w:styleId="NoList1">
    <w:name w:val="No List1"/>
    <w:next w:val="NoList"/>
    <w:uiPriority w:val="99"/>
    <w:semiHidden/>
    <w:unhideWhenUsed/>
    <w:rsid w:val="00367E73"/>
  </w:style>
  <w:style w:type="paragraph" w:styleId="TOC5">
    <w:name w:val="toc 5"/>
    <w:basedOn w:val="Normal"/>
    <w:next w:val="Normal"/>
    <w:autoRedefine/>
    <w:uiPriority w:val="1"/>
    <w:unhideWhenUsed/>
    <w:qFormat/>
    <w:rsid w:val="008A3FE3"/>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1"/>
    <w:unhideWhenUsed/>
    <w:qFormat/>
    <w:rsid w:val="008A3FE3"/>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3FE3"/>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3FE3"/>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3FE3"/>
    <w:pPr>
      <w:spacing w:after="100" w:line="276" w:lineRule="auto"/>
      <w:ind w:left="1760" w:firstLine="0"/>
      <w:jc w:val="left"/>
    </w:pPr>
    <w:rPr>
      <w:rFonts w:asciiTheme="minorHAnsi" w:eastAsiaTheme="minorEastAsia" w:hAnsiTheme="minorHAnsi" w:cstheme="minorBidi"/>
      <w:sz w:val="22"/>
      <w:szCs w:val="22"/>
    </w:rPr>
  </w:style>
  <w:style w:type="table" w:customStyle="1" w:styleId="30">
    <w:name w:val="30"/>
    <w:basedOn w:val="TableNormal"/>
    <w:pPr>
      <w:spacing w:line="240" w:lineRule="auto"/>
    </w:pPr>
    <w:tblPr>
      <w:tblStyleRowBandSize w:val="1"/>
      <w:tblStyleColBandSize w:val="1"/>
    </w:tblPr>
  </w:style>
  <w:style w:type="table" w:customStyle="1" w:styleId="29">
    <w:name w:val="29"/>
    <w:basedOn w:val="TableNormal"/>
    <w:pPr>
      <w:spacing w:line="240" w:lineRule="auto"/>
    </w:pPr>
    <w:tblPr>
      <w:tblStyleRowBandSize w:val="1"/>
      <w:tblStyleColBandSize w:val="1"/>
    </w:tblPr>
  </w:style>
  <w:style w:type="table" w:customStyle="1" w:styleId="28">
    <w:name w:val="28"/>
    <w:basedOn w:val="TableNormal"/>
    <w:pPr>
      <w:spacing w:line="240" w:lineRule="auto"/>
    </w:pPr>
    <w:tblPr>
      <w:tblStyleRowBandSize w:val="1"/>
      <w:tblStyleColBandSize w:val="1"/>
    </w:tblPr>
  </w:style>
  <w:style w:type="table" w:customStyle="1" w:styleId="27">
    <w:name w:val="27"/>
    <w:basedOn w:val="TableNormal"/>
    <w:pPr>
      <w:spacing w:line="240" w:lineRule="auto"/>
    </w:pPr>
    <w:tblPr>
      <w:tblStyleRowBandSize w:val="1"/>
      <w:tblStyleColBandSize w:val="1"/>
    </w:tblPr>
  </w:style>
  <w:style w:type="table" w:customStyle="1" w:styleId="26">
    <w:name w:val="26"/>
    <w:basedOn w:val="TableNormal"/>
    <w:pPr>
      <w:spacing w:line="240" w:lineRule="auto"/>
    </w:pPr>
    <w:tblPr>
      <w:tblStyleRowBandSize w:val="1"/>
      <w:tblStyleColBandSize w:val="1"/>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pPr>
      <w:spacing w:line="240" w:lineRule="auto"/>
    </w:pPr>
    <w:tblPr>
      <w:tblStyleRowBandSize w:val="1"/>
      <w:tblStyleColBandSize w:val="1"/>
    </w:tblPr>
  </w:style>
  <w:style w:type="table" w:customStyle="1" w:styleId="23">
    <w:name w:val="23"/>
    <w:basedOn w:val="TableNormal"/>
    <w:pPr>
      <w:spacing w:line="240" w:lineRule="auto"/>
    </w:pPr>
    <w:tblPr>
      <w:tblStyleRowBandSize w:val="1"/>
      <w:tblStyleColBandSize w:val="1"/>
    </w:tblPr>
  </w:style>
  <w:style w:type="table" w:customStyle="1" w:styleId="22">
    <w:name w:val="22"/>
    <w:basedOn w:val="TableNormal"/>
    <w:pPr>
      <w:spacing w:line="240" w:lineRule="auto"/>
    </w:pPr>
    <w:tblPr>
      <w:tblStyleRowBandSize w:val="1"/>
      <w:tblStyleColBandSize w:val="1"/>
    </w:tblPr>
  </w:style>
  <w:style w:type="table" w:customStyle="1" w:styleId="21">
    <w:name w:val="21"/>
    <w:basedOn w:val="TableNormal"/>
    <w:pPr>
      <w:spacing w:line="240" w:lineRule="auto"/>
    </w:pPr>
    <w:tblPr>
      <w:tblStyleRowBandSize w:val="1"/>
      <w:tblStyleColBandSize w:val="1"/>
    </w:tblPr>
  </w:style>
  <w:style w:type="table" w:customStyle="1" w:styleId="20">
    <w:name w:val="20"/>
    <w:basedOn w:val="TableNormal"/>
    <w:pPr>
      <w:spacing w:line="240" w:lineRule="auto"/>
    </w:pPr>
    <w:tblPr>
      <w:tblStyleRowBandSize w:val="1"/>
      <w:tblStyleColBandSize w:val="1"/>
    </w:tblPr>
  </w:style>
  <w:style w:type="table" w:customStyle="1" w:styleId="19">
    <w:name w:val="19"/>
    <w:basedOn w:val="TableNormal"/>
    <w:pPr>
      <w:spacing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pPr>
      <w:spacing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3511E"/>
    <w:rPr>
      <w:sz w:val="24"/>
      <w:szCs w:val="24"/>
    </w:rPr>
  </w:style>
  <w:style w:type="table" w:customStyle="1" w:styleId="16">
    <w:name w:val="16"/>
    <w:basedOn w:val="TableNormal"/>
    <w:pPr>
      <w:spacing w:line="240" w:lineRule="auto"/>
    </w:pPr>
    <w:tblPr>
      <w:tblStyleRowBandSize w:val="1"/>
      <w:tblStyleColBandSize w:val="1"/>
      <w:tblCellMar>
        <w:left w:w="115" w:type="dxa"/>
        <w:right w:w="115" w:type="dxa"/>
      </w:tblCellMar>
    </w:tblPr>
  </w:style>
  <w:style w:type="table" w:customStyle="1" w:styleId="15">
    <w:name w:val="15"/>
    <w:basedOn w:val="TableNormal"/>
    <w:pPr>
      <w:spacing w:line="240" w:lineRule="auto"/>
    </w:pPr>
    <w:tblPr>
      <w:tblStyleRowBandSize w:val="1"/>
      <w:tblStyleColBandSize w:val="1"/>
      <w:tblCellMar>
        <w:left w:w="115" w:type="dxa"/>
        <w:right w:w="115" w:type="dxa"/>
      </w:tblCellMar>
    </w:tblPr>
  </w:style>
  <w:style w:type="table" w:customStyle="1" w:styleId="14">
    <w:name w:val="14"/>
    <w:basedOn w:val="TableNormal"/>
    <w:pPr>
      <w:spacing w:line="240" w:lineRule="auto"/>
    </w:pPr>
    <w:tblPr>
      <w:tblStyleRowBandSize w:val="1"/>
      <w:tblStyleColBandSize w:val="1"/>
      <w:tblCellMar>
        <w:left w:w="115" w:type="dxa"/>
        <w:right w:w="115" w:type="dxa"/>
      </w:tblCellMar>
    </w:tblPr>
  </w:style>
  <w:style w:type="table" w:customStyle="1" w:styleId="13">
    <w:name w:val="13"/>
    <w:basedOn w:val="TableNormal"/>
    <w:pPr>
      <w:spacing w:line="240" w:lineRule="auto"/>
    </w:pPr>
    <w:tblPr>
      <w:tblStyleRowBandSize w:val="1"/>
      <w:tblStyleColBandSize w:val="1"/>
      <w:tblCellMar>
        <w:left w:w="115" w:type="dxa"/>
        <w:right w:w="115" w:type="dxa"/>
      </w:tblCellMar>
    </w:tblPr>
  </w:style>
  <w:style w:type="table" w:customStyle="1" w:styleId="12">
    <w:name w:val="12"/>
    <w:basedOn w:val="TableNormal"/>
    <w:pPr>
      <w:spacing w:line="240" w:lineRule="auto"/>
    </w:pPr>
    <w:tblPr>
      <w:tblStyleRowBandSize w:val="1"/>
      <w:tblStyleColBandSize w:val="1"/>
      <w:tblCellMar>
        <w:left w:w="115" w:type="dxa"/>
        <w:right w:w="115" w:type="dxa"/>
      </w:tblCellMar>
    </w:tblPr>
  </w:style>
  <w:style w:type="table" w:customStyle="1" w:styleId="11">
    <w:name w:val="11"/>
    <w:basedOn w:val="TableNormal"/>
    <w:pPr>
      <w:spacing w:line="240" w:lineRule="auto"/>
    </w:pPr>
    <w:tblPr>
      <w:tblStyleRowBandSize w:val="1"/>
      <w:tblStyleColBandSize w:val="1"/>
      <w:tblCellMar>
        <w:left w:w="115" w:type="dxa"/>
        <w:right w:w="115" w:type="dxa"/>
      </w:tblCellMar>
    </w:tblPr>
  </w:style>
  <w:style w:type="table" w:customStyle="1" w:styleId="10">
    <w:name w:val="10"/>
    <w:basedOn w:val="TableNormal"/>
    <w:pPr>
      <w:spacing w:line="240" w:lineRule="auto"/>
    </w:pPr>
    <w:tblPr>
      <w:tblStyleRowBandSize w:val="1"/>
      <w:tblStyleColBandSize w:val="1"/>
      <w:tblCellMar>
        <w:left w:w="115" w:type="dxa"/>
        <w:right w:w="115" w:type="dxa"/>
      </w:tblCellMar>
    </w:tblPr>
  </w:style>
  <w:style w:type="table" w:customStyle="1" w:styleId="9">
    <w:name w:val="9"/>
    <w:basedOn w:val="TableNormal"/>
    <w:pPr>
      <w:spacing w:line="240" w:lineRule="auto"/>
    </w:pPr>
    <w:tblPr>
      <w:tblStyleRowBandSize w:val="1"/>
      <w:tblStyleColBandSize w:val="1"/>
      <w:tblCellMar>
        <w:left w:w="115" w:type="dxa"/>
        <w:right w:w="115" w:type="dxa"/>
      </w:tblCellMar>
    </w:tblPr>
  </w:style>
  <w:style w:type="table" w:customStyle="1" w:styleId="8">
    <w:name w:val="8"/>
    <w:basedOn w:val="TableNormal"/>
    <w:pPr>
      <w:spacing w:line="240" w:lineRule="auto"/>
    </w:pPr>
    <w:tblPr>
      <w:tblStyleRowBandSize w:val="1"/>
      <w:tblStyleColBandSize w:val="1"/>
      <w:tblCellMar>
        <w:left w:w="115" w:type="dxa"/>
        <w:right w:w="115" w:type="dxa"/>
      </w:tblCellMar>
    </w:tblPr>
  </w:style>
  <w:style w:type="table" w:customStyle="1" w:styleId="7">
    <w:name w:val="7"/>
    <w:basedOn w:val="TableNormal"/>
    <w:pPr>
      <w:spacing w:line="240" w:lineRule="auto"/>
    </w:p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48E5"/>
    <w:rPr>
      <w:color w:val="954F72" w:themeColor="followedHyperlink"/>
      <w:u w:val="single"/>
    </w:rPr>
  </w:style>
  <w:style w:type="table" w:customStyle="1" w:styleId="6">
    <w:name w:val="6"/>
    <w:basedOn w:val="TableNormal"/>
    <w:pPr>
      <w:spacing w:line="240" w:lineRule="auto"/>
    </w:pPr>
    <w:tblPr>
      <w:tblStyleRowBandSize w:val="1"/>
      <w:tblStyleColBandSize w:val="1"/>
      <w:tblCellMar>
        <w:left w:w="115" w:type="dxa"/>
        <w:right w:w="115" w:type="dxa"/>
      </w:tblCellMar>
    </w:tblPr>
  </w:style>
  <w:style w:type="table" w:customStyle="1" w:styleId="5">
    <w:name w:val="5"/>
    <w:basedOn w:val="TableNormal"/>
    <w:pPr>
      <w:spacing w:line="240" w:lineRule="auto"/>
    </w:pPr>
    <w:tblPr>
      <w:tblStyleRowBandSize w:val="1"/>
      <w:tblStyleColBandSize w:val="1"/>
      <w:tblCellMar>
        <w:left w:w="115" w:type="dxa"/>
        <w:right w:w="115" w:type="dxa"/>
      </w:tblCellMar>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spacing w:line="240" w:lineRule="auto"/>
    </w:pPr>
    <w:tblPr>
      <w:tblStyleRowBandSize w:val="1"/>
      <w:tblStyleColBandSize w:val="1"/>
      <w:tblCellMar>
        <w:left w:w="115" w:type="dxa"/>
        <w:right w:w="115" w:type="dxa"/>
      </w:tblCellMar>
    </w:tblPr>
  </w:style>
  <w:style w:type="table" w:customStyle="1" w:styleId="2">
    <w:name w:val="2"/>
    <w:basedOn w:val="TableNormal"/>
    <w:pPr>
      <w:spacing w:line="240" w:lineRule="auto"/>
    </w:pPr>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customStyle="1" w:styleId="Doan">
    <w:name w:val="Doan"/>
    <w:basedOn w:val="Normal"/>
    <w:rsid w:val="008532A3"/>
    <w:pPr>
      <w:spacing w:line="288" w:lineRule="auto"/>
      <w:ind w:firstLine="561"/>
    </w:pPr>
    <w:rPr>
      <w:iCs/>
      <w:color w:val="000000"/>
      <w:sz w:val="26"/>
    </w:rPr>
  </w:style>
  <w:style w:type="character" w:styleId="Strong">
    <w:name w:val="Strong"/>
    <w:basedOn w:val="DefaultParagraphFont"/>
    <w:uiPriority w:val="22"/>
    <w:qFormat/>
    <w:rsid w:val="008532A3"/>
    <w:rPr>
      <w:b/>
      <w:bCs/>
    </w:rPr>
  </w:style>
  <w:style w:type="table" w:customStyle="1" w:styleId="TableGrid1">
    <w:name w:val="Table Grid1"/>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3F7D6A"/>
    <w:pPr>
      <w:spacing w:before="120" w:after="120" w:line="312" w:lineRule="auto"/>
      <w:ind w:firstLine="0"/>
    </w:pPr>
    <w:rPr>
      <w:rFonts w:eastAsia="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47786"/>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4B09"/>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3799"/>
    <w:pPr>
      <w:spacing w:line="240" w:lineRule="auto"/>
      <w:ind w:firstLine="0"/>
      <w:jc w:val="left"/>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550C"/>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06A4"/>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SqjFVPMH5kz9Wn7YnIk6j2bhg==">CgMxLjAyCGguZ2pkZ3hzOAByITFlaUJVTHlQOEJvWGtnY29sMUhPaVltQ2JqY1NfSGx3dQ==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742B8-B94E-449C-BF96-2485927E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2026-01-16T07:52:00Z</cp:lastPrinted>
  <dcterms:created xsi:type="dcterms:W3CDTF">2025-12-04T06:46:00Z</dcterms:created>
  <dcterms:modified xsi:type="dcterms:W3CDTF">2026-04-27T16:43:00Z</dcterms:modified>
</cp:coreProperties>
</file>