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7EEF8" w14:textId="257550B5" w:rsidR="00CA4406" w:rsidRDefault="000B167A" w:rsidP="00A03FCB">
      <w:pPr>
        <w:ind w:firstLine="0"/>
        <w:jc w:val="center"/>
      </w:pPr>
      <w:r>
        <w:t>BỘ GIÁO DỤC VÀ ĐÀO TẠO</w:t>
      </w:r>
      <w:r w:rsidR="00B2653D">
        <w:tab/>
      </w:r>
      <w:r w:rsidR="00B2653D">
        <w:tab/>
      </w:r>
      <w:r w:rsidR="00B2653D">
        <w:tab/>
      </w:r>
      <w:r>
        <w:t>BỘ TƯ PHÁP</w:t>
      </w:r>
    </w:p>
    <w:p w14:paraId="0143533C" w14:textId="13F2529D" w:rsidR="00551DE6" w:rsidRPr="00CA4406" w:rsidRDefault="00CA4406" w:rsidP="00A03FCB">
      <w:pPr>
        <w:ind w:firstLine="0"/>
        <w:jc w:val="center"/>
        <w:rPr>
          <w:b/>
          <w:highlight w:val="white"/>
        </w:rPr>
      </w:pPr>
      <w:r w:rsidRPr="00CA4406">
        <w:rPr>
          <w:b/>
        </w:rPr>
        <w:t xml:space="preserve">TRƯỜNG ĐẠI HỌC LUẬT </w:t>
      </w:r>
      <w:r w:rsidR="00B2653D">
        <w:rPr>
          <w:b/>
        </w:rPr>
        <w:t>HÀ NỘI</w:t>
      </w:r>
    </w:p>
    <w:p w14:paraId="783B15ED" w14:textId="21B0C19E" w:rsidR="00BE02E9" w:rsidRDefault="00BE02E9" w:rsidP="00A03FCB">
      <w:pPr>
        <w:ind w:firstLine="0"/>
        <w:rPr>
          <w:b/>
          <w:highlight w:val="white"/>
        </w:rPr>
      </w:pPr>
    </w:p>
    <w:p w14:paraId="15009BC6" w14:textId="77777777" w:rsidR="004366CD" w:rsidRDefault="004366CD" w:rsidP="00A03FCB">
      <w:pPr>
        <w:ind w:firstLine="0"/>
        <w:rPr>
          <w:b/>
          <w:highlight w:val="white"/>
        </w:rPr>
      </w:pPr>
    </w:p>
    <w:p w14:paraId="3E4F84C9" w14:textId="77777777" w:rsidR="004F5429" w:rsidRDefault="004F5429" w:rsidP="00A03FCB">
      <w:pPr>
        <w:ind w:firstLine="0"/>
        <w:rPr>
          <w:b/>
          <w:highlight w:val="white"/>
        </w:rPr>
      </w:pPr>
    </w:p>
    <w:p w14:paraId="0BA5DC4E" w14:textId="77777777" w:rsidR="004F5429" w:rsidRDefault="004F5429" w:rsidP="00A03FCB">
      <w:pPr>
        <w:ind w:firstLine="0"/>
        <w:rPr>
          <w:b/>
          <w:highlight w:val="white"/>
        </w:rPr>
      </w:pPr>
    </w:p>
    <w:p w14:paraId="7501422C" w14:textId="77777777" w:rsidR="004F5429" w:rsidRDefault="004F5429" w:rsidP="00A03FCB">
      <w:pPr>
        <w:ind w:firstLine="0"/>
        <w:rPr>
          <w:b/>
          <w:highlight w:val="white"/>
        </w:rPr>
      </w:pPr>
    </w:p>
    <w:p w14:paraId="6169A15E" w14:textId="5279AE47" w:rsidR="00DC78A5" w:rsidRPr="00D575BB" w:rsidRDefault="0009582E" w:rsidP="00A03FCB">
      <w:pPr>
        <w:ind w:firstLine="0"/>
        <w:jc w:val="center"/>
        <w:rPr>
          <w:b/>
        </w:rPr>
      </w:pPr>
      <w:r>
        <w:rPr>
          <w:b/>
        </w:rPr>
        <w:t>TIỂU LUẬN</w:t>
      </w:r>
    </w:p>
    <w:p w14:paraId="1DA3CEFD" w14:textId="77777777" w:rsidR="00DC1ECA" w:rsidRDefault="00DC1ECA" w:rsidP="00A03FCB">
      <w:pPr>
        <w:ind w:firstLine="0"/>
        <w:rPr>
          <w:b/>
          <w:sz w:val="36"/>
          <w:szCs w:val="32"/>
        </w:rPr>
      </w:pPr>
    </w:p>
    <w:p w14:paraId="192AF72A" w14:textId="77777777" w:rsidR="008B3A83" w:rsidRDefault="008B3A83" w:rsidP="00A03FCB">
      <w:pPr>
        <w:ind w:firstLine="0"/>
        <w:rPr>
          <w:b/>
          <w:sz w:val="36"/>
          <w:szCs w:val="32"/>
        </w:rPr>
      </w:pPr>
    </w:p>
    <w:p w14:paraId="377DB3CD" w14:textId="5355B607" w:rsidR="009F3365" w:rsidRPr="00545D23" w:rsidRDefault="000F136E" w:rsidP="00CA0C79">
      <w:pPr>
        <w:ind w:firstLine="0"/>
        <w:jc w:val="center"/>
        <w:rPr>
          <w:b/>
          <w:sz w:val="36"/>
          <w:szCs w:val="32"/>
        </w:rPr>
      </w:pPr>
      <w:r w:rsidRPr="000F136E">
        <w:rPr>
          <w:b/>
          <w:sz w:val="36"/>
          <w:szCs w:val="32"/>
        </w:rPr>
        <w:t xml:space="preserve">SO SÁNH QUY ĐỊNH VỀ THA TÙ TRƯỚC </w:t>
      </w:r>
      <w:r w:rsidR="00CA0C79">
        <w:rPr>
          <w:b/>
          <w:sz w:val="36"/>
          <w:szCs w:val="32"/>
        </w:rPr>
        <w:br/>
      </w:r>
      <w:r w:rsidRPr="000F136E">
        <w:rPr>
          <w:b/>
          <w:sz w:val="36"/>
          <w:szCs w:val="32"/>
        </w:rPr>
        <w:t>THỜI HẠN CÓ ĐIỀU KIỆN THEO BỘ LUẬT HÌNH SỰ VIỆT NAM VÀ BỘ LUẬT HÌNH SỰ TRUNG QUỐC</w:t>
      </w:r>
    </w:p>
    <w:p w14:paraId="48D09FE2" w14:textId="7BE04A2F" w:rsidR="00DD3F8B" w:rsidRDefault="008D09B5" w:rsidP="00A03FCB">
      <w:pPr>
        <w:ind w:firstLine="0"/>
        <w:rPr>
          <w:b/>
          <w:highlight w:val="white"/>
        </w:rPr>
      </w:pPr>
      <w:r>
        <w:rPr>
          <w:b/>
          <w:noProof/>
        </w:rPr>
        <mc:AlternateContent>
          <mc:Choice Requires="wps">
            <w:drawing>
              <wp:anchor distT="0" distB="0" distL="114300" distR="114300" simplePos="0" relativeHeight="251660288" behindDoc="0" locked="0" layoutInCell="1" allowOverlap="1" wp14:anchorId="32E96471" wp14:editId="2C086DD0">
                <wp:simplePos x="0" y="0"/>
                <wp:positionH relativeFrom="column">
                  <wp:posOffset>900752</wp:posOffset>
                </wp:positionH>
                <wp:positionV relativeFrom="paragraph">
                  <wp:posOffset>61852</wp:posOffset>
                </wp:positionV>
                <wp:extent cx="4037533" cy="1344304"/>
                <wp:effectExtent l="0" t="0" r="20320" b="27305"/>
                <wp:wrapNone/>
                <wp:docPr id="1" name="Text Box 1"/>
                <wp:cNvGraphicFramePr/>
                <a:graphic xmlns:a="http://schemas.openxmlformats.org/drawingml/2006/main">
                  <a:graphicData uri="http://schemas.microsoft.com/office/word/2010/wordprocessingShape">
                    <wps:wsp>
                      <wps:cNvSpPr txBox="1"/>
                      <wps:spPr>
                        <a:xfrm>
                          <a:off x="0" y="0"/>
                          <a:ext cx="4037533" cy="1344304"/>
                        </a:xfrm>
                        <a:prstGeom prst="rect">
                          <a:avLst/>
                        </a:prstGeom>
                        <a:solidFill>
                          <a:schemeClr val="lt1"/>
                        </a:solidFill>
                        <a:ln w="6350">
                          <a:solidFill>
                            <a:schemeClr val="bg1"/>
                          </a:solidFill>
                        </a:ln>
                      </wps:spPr>
                      <wps:txb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96471" id="_x0000_t202" coordsize="21600,21600" o:spt="202" path="m,l,21600r21600,l21600,xe">
                <v:stroke joinstyle="miter"/>
                <v:path gradientshapeok="t" o:connecttype="rect"/>
              </v:shapetype>
              <v:shape id="Text Box 1" o:spid="_x0000_s1026" type="#_x0000_t202" style="position:absolute;left:0;text-align:left;margin-left:70.95pt;margin-top:4.85pt;width:317.9pt;height:10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" fillcolor="white [3201]" strokecolor="white [3212]" strokeweight=".5pt">
                <v:textbo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v:textbox>
              </v:shape>
            </w:pict>
          </mc:Fallback>
        </mc:AlternateContent>
      </w:r>
    </w:p>
    <w:p w14:paraId="371C35A8" w14:textId="77777777" w:rsidR="00052ECF" w:rsidRDefault="00052ECF" w:rsidP="00A03FCB">
      <w:pPr>
        <w:ind w:firstLine="0"/>
        <w:rPr>
          <w:b/>
          <w:highlight w:val="white"/>
        </w:rPr>
      </w:pPr>
    </w:p>
    <w:p w14:paraId="5FD0715B" w14:textId="50C02E69" w:rsidR="00295DF9" w:rsidRDefault="00295DF9" w:rsidP="00A03FCB">
      <w:pPr>
        <w:ind w:firstLine="0"/>
        <w:rPr>
          <w:b/>
          <w:highlight w:val="white"/>
        </w:rPr>
      </w:pPr>
    </w:p>
    <w:p w14:paraId="77C15DBD" w14:textId="77777777" w:rsidR="00C93967" w:rsidRDefault="00C93967" w:rsidP="00A03FCB">
      <w:pPr>
        <w:ind w:firstLine="0"/>
        <w:rPr>
          <w:b/>
          <w:highlight w:val="white"/>
        </w:rPr>
      </w:pPr>
    </w:p>
    <w:p w14:paraId="5E6E23A0" w14:textId="21A0D627" w:rsidR="00EC347C" w:rsidRDefault="00EC347C" w:rsidP="00A03FCB">
      <w:pPr>
        <w:ind w:firstLine="0"/>
        <w:rPr>
          <w:b/>
          <w:highlight w:val="white"/>
        </w:rPr>
      </w:pPr>
    </w:p>
    <w:p w14:paraId="032EB523" w14:textId="5156DEE4" w:rsidR="00EC347C" w:rsidRDefault="00EC347C" w:rsidP="00A03FCB">
      <w:pPr>
        <w:ind w:firstLine="0"/>
        <w:rPr>
          <w:b/>
          <w:highlight w:val="white"/>
        </w:rPr>
      </w:pPr>
    </w:p>
    <w:p w14:paraId="0CB1A0B5" w14:textId="156EE4FF" w:rsidR="00CA0C79" w:rsidRDefault="00CA0C79" w:rsidP="00A03FCB">
      <w:pPr>
        <w:ind w:firstLine="0"/>
        <w:rPr>
          <w:b/>
          <w:highlight w:val="white"/>
        </w:rPr>
      </w:pPr>
    </w:p>
    <w:p w14:paraId="5A53C8AD" w14:textId="77777777" w:rsidR="00CA0C79" w:rsidRDefault="00CA0C79" w:rsidP="00A03FCB">
      <w:pPr>
        <w:ind w:firstLine="0"/>
        <w:rPr>
          <w:b/>
          <w:highlight w:val="white"/>
        </w:rPr>
      </w:pPr>
    </w:p>
    <w:p w14:paraId="7DE64564" w14:textId="77777777" w:rsidR="00CD629D" w:rsidRDefault="00CD629D" w:rsidP="00A03FCB">
      <w:pPr>
        <w:ind w:firstLine="0"/>
        <w:rPr>
          <w:b/>
          <w:highlight w:val="white"/>
        </w:rPr>
      </w:pPr>
    </w:p>
    <w:p w14:paraId="2C9FB1E6" w14:textId="0B120809" w:rsidR="00801D69" w:rsidRDefault="005937A8" w:rsidP="00A03FCB">
      <w:pPr>
        <w:ind w:firstLine="0"/>
        <w:jc w:val="center"/>
        <w:rPr>
          <w:b/>
          <w:highlight w:val="white"/>
        </w:rPr>
      </w:pPr>
      <w:r>
        <w:rPr>
          <w:b/>
          <w:highlight w:val="white"/>
        </w:rPr>
        <w:t>NĂM</w:t>
      </w:r>
      <w:r w:rsidR="00551DE6">
        <w:rPr>
          <w:b/>
          <w:highlight w:val="white"/>
        </w:rPr>
        <w:t xml:space="preserve"> 202</w:t>
      </w:r>
      <w:r w:rsidR="00B05537">
        <w:rPr>
          <w:b/>
          <w:highlight w:val="white"/>
        </w:rPr>
        <w:t>5</w:t>
      </w:r>
    </w:p>
    <w:p w14:paraId="1B2A0811" w14:textId="22D05027" w:rsidR="00551DE6" w:rsidRDefault="00551DE6" w:rsidP="00A03FCB">
      <w:r>
        <w:br w:type="page"/>
      </w:r>
    </w:p>
    <w:sdt>
      <w:sdtPr>
        <w:rPr>
          <w:rFonts w:eastAsia="Times New Roman" w:cs="Times New Roman"/>
          <w:b w:val="0"/>
          <w:color w:val="auto"/>
          <w:szCs w:val="28"/>
        </w:rPr>
        <w:id w:val="1317688631"/>
        <w:docPartObj>
          <w:docPartGallery w:val="Table of Contents"/>
          <w:docPartUnique/>
        </w:docPartObj>
      </w:sdtPr>
      <w:sdtEndPr>
        <w:rPr>
          <w:bCs/>
          <w:noProof/>
        </w:rPr>
      </w:sdtEndPr>
      <w:sdtContent>
        <w:p w14:paraId="18EED5A0" w14:textId="0A8ED7F7" w:rsidR="00BA689F" w:rsidRDefault="00BA689F" w:rsidP="00A03FCB">
          <w:pPr>
            <w:pStyle w:val="TOCHeading"/>
            <w:spacing w:line="360" w:lineRule="auto"/>
            <w:jc w:val="center"/>
          </w:pPr>
          <w:r>
            <w:t>MỤC LỤC</w:t>
          </w:r>
        </w:p>
        <w:p w14:paraId="619E17E3" w14:textId="481417BB" w:rsidR="00A03FCB" w:rsidRDefault="00BA689F" w:rsidP="00A03FCB">
          <w:pPr>
            <w:pStyle w:val="TOC1"/>
            <w:spacing w:after="0"/>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15747893" w:history="1">
            <w:r w:rsidR="00A03FCB" w:rsidRPr="009D32FE">
              <w:rPr>
                <w:rStyle w:val="Hyperlink"/>
              </w:rPr>
              <w:t>LỜI MỞ ĐẦU</w:t>
            </w:r>
            <w:r w:rsidR="00A03FCB">
              <w:rPr>
                <w:webHidden/>
              </w:rPr>
              <w:tab/>
            </w:r>
            <w:r w:rsidR="00A03FCB">
              <w:rPr>
                <w:webHidden/>
              </w:rPr>
              <w:fldChar w:fldCharType="begin"/>
            </w:r>
            <w:r w:rsidR="00A03FCB">
              <w:rPr>
                <w:webHidden/>
              </w:rPr>
              <w:instrText xml:space="preserve"> PAGEREF _Toc215747893 \h </w:instrText>
            </w:r>
            <w:r w:rsidR="00A03FCB">
              <w:rPr>
                <w:webHidden/>
              </w:rPr>
            </w:r>
            <w:r w:rsidR="00A03FCB">
              <w:rPr>
                <w:webHidden/>
              </w:rPr>
              <w:fldChar w:fldCharType="separate"/>
            </w:r>
            <w:r w:rsidR="00E475B1">
              <w:rPr>
                <w:webHidden/>
              </w:rPr>
              <w:t>1</w:t>
            </w:r>
            <w:r w:rsidR="00A03FCB">
              <w:rPr>
                <w:webHidden/>
              </w:rPr>
              <w:fldChar w:fldCharType="end"/>
            </w:r>
          </w:hyperlink>
        </w:p>
        <w:p w14:paraId="090753E8" w14:textId="3A3EB44A" w:rsidR="00A03FCB" w:rsidRDefault="00A85AE7" w:rsidP="00A03FCB">
          <w:pPr>
            <w:pStyle w:val="TOC2"/>
            <w:rPr>
              <w:rFonts w:asciiTheme="minorHAnsi" w:eastAsiaTheme="minorEastAsia" w:hAnsiTheme="minorHAnsi" w:cstheme="minorBidi"/>
              <w:sz w:val="22"/>
              <w:szCs w:val="22"/>
            </w:rPr>
          </w:pPr>
          <w:hyperlink w:anchor="_Toc215747894" w:history="1">
            <w:r w:rsidR="00A03FCB" w:rsidRPr="009D32FE">
              <w:rPr>
                <w:rStyle w:val="Hyperlink"/>
              </w:rPr>
              <w:t>1. So sánh điểm tương đồng trong Bộ luật Hình sự Việt Nam và Bộ luật Hình sự Trung Quốc về tha tù trước thời hạn có điều kiện</w:t>
            </w:r>
            <w:r w:rsidR="00A03FCB">
              <w:rPr>
                <w:webHidden/>
              </w:rPr>
              <w:tab/>
            </w:r>
            <w:r w:rsidR="00A03FCB">
              <w:rPr>
                <w:webHidden/>
              </w:rPr>
              <w:fldChar w:fldCharType="begin"/>
            </w:r>
            <w:r w:rsidR="00A03FCB">
              <w:rPr>
                <w:webHidden/>
              </w:rPr>
              <w:instrText xml:space="preserve"> PAGEREF _Toc215747894 \h </w:instrText>
            </w:r>
            <w:r w:rsidR="00A03FCB">
              <w:rPr>
                <w:webHidden/>
              </w:rPr>
            </w:r>
            <w:r w:rsidR="00A03FCB">
              <w:rPr>
                <w:webHidden/>
              </w:rPr>
              <w:fldChar w:fldCharType="separate"/>
            </w:r>
            <w:r w:rsidR="00E475B1">
              <w:rPr>
                <w:webHidden/>
              </w:rPr>
              <w:t>2</w:t>
            </w:r>
            <w:r w:rsidR="00A03FCB">
              <w:rPr>
                <w:webHidden/>
              </w:rPr>
              <w:fldChar w:fldCharType="end"/>
            </w:r>
          </w:hyperlink>
        </w:p>
        <w:p w14:paraId="792AA918" w14:textId="507DA731" w:rsidR="00A03FCB" w:rsidRDefault="00A85AE7" w:rsidP="00A03FCB">
          <w:pPr>
            <w:pStyle w:val="TOC2"/>
            <w:rPr>
              <w:rFonts w:asciiTheme="minorHAnsi" w:eastAsiaTheme="minorEastAsia" w:hAnsiTheme="minorHAnsi" w:cstheme="minorBidi"/>
              <w:sz w:val="22"/>
              <w:szCs w:val="22"/>
            </w:rPr>
          </w:pPr>
          <w:hyperlink w:anchor="_Toc215747895" w:history="1">
            <w:r w:rsidR="00A03FCB" w:rsidRPr="009D32FE">
              <w:rPr>
                <w:rStyle w:val="Hyperlink"/>
              </w:rPr>
              <w:t>2. So sánh điềm khác biệt trong Bộ luật hình sự Việt Nam và Bộ luật hình sự Trung Quốc về tha tù trước thời hạn có điều kiện.</w:t>
            </w:r>
            <w:r w:rsidR="00A03FCB">
              <w:rPr>
                <w:webHidden/>
              </w:rPr>
              <w:tab/>
            </w:r>
            <w:r w:rsidR="00A03FCB">
              <w:rPr>
                <w:webHidden/>
              </w:rPr>
              <w:fldChar w:fldCharType="begin"/>
            </w:r>
            <w:r w:rsidR="00A03FCB">
              <w:rPr>
                <w:webHidden/>
              </w:rPr>
              <w:instrText xml:space="preserve"> PAGEREF _Toc215747895 \h </w:instrText>
            </w:r>
            <w:r w:rsidR="00A03FCB">
              <w:rPr>
                <w:webHidden/>
              </w:rPr>
            </w:r>
            <w:r w:rsidR="00A03FCB">
              <w:rPr>
                <w:webHidden/>
              </w:rPr>
              <w:fldChar w:fldCharType="separate"/>
            </w:r>
            <w:r w:rsidR="00E475B1">
              <w:rPr>
                <w:webHidden/>
              </w:rPr>
              <w:t>4</w:t>
            </w:r>
            <w:r w:rsidR="00A03FCB">
              <w:rPr>
                <w:webHidden/>
              </w:rPr>
              <w:fldChar w:fldCharType="end"/>
            </w:r>
          </w:hyperlink>
        </w:p>
        <w:p w14:paraId="74A5F84C" w14:textId="01C28519" w:rsidR="00A03FCB" w:rsidRDefault="00A85AE7" w:rsidP="00A03FCB">
          <w:pPr>
            <w:pStyle w:val="TOC2"/>
            <w:rPr>
              <w:rFonts w:asciiTheme="minorHAnsi" w:eastAsiaTheme="minorEastAsia" w:hAnsiTheme="minorHAnsi" w:cstheme="minorBidi"/>
              <w:sz w:val="22"/>
              <w:szCs w:val="22"/>
            </w:rPr>
          </w:pPr>
          <w:hyperlink w:anchor="_Toc215747896" w:history="1">
            <w:r w:rsidR="00A03FCB" w:rsidRPr="009D32FE">
              <w:rPr>
                <w:rStyle w:val="Hyperlink"/>
              </w:rPr>
              <w:t>3. Kinh nghiệm cho Việt Nam</w:t>
            </w:r>
            <w:r w:rsidR="00A03FCB">
              <w:rPr>
                <w:webHidden/>
              </w:rPr>
              <w:tab/>
            </w:r>
            <w:r w:rsidR="00A03FCB">
              <w:rPr>
                <w:webHidden/>
              </w:rPr>
              <w:fldChar w:fldCharType="begin"/>
            </w:r>
            <w:r w:rsidR="00A03FCB">
              <w:rPr>
                <w:webHidden/>
              </w:rPr>
              <w:instrText xml:space="preserve"> PAGEREF _Toc215747896 \h </w:instrText>
            </w:r>
            <w:r w:rsidR="00A03FCB">
              <w:rPr>
                <w:webHidden/>
              </w:rPr>
            </w:r>
            <w:r w:rsidR="00A03FCB">
              <w:rPr>
                <w:webHidden/>
              </w:rPr>
              <w:fldChar w:fldCharType="separate"/>
            </w:r>
            <w:r w:rsidR="00E475B1">
              <w:rPr>
                <w:webHidden/>
              </w:rPr>
              <w:t>7</w:t>
            </w:r>
            <w:r w:rsidR="00A03FCB">
              <w:rPr>
                <w:webHidden/>
              </w:rPr>
              <w:fldChar w:fldCharType="end"/>
            </w:r>
          </w:hyperlink>
        </w:p>
        <w:p w14:paraId="1E33821C" w14:textId="19521DDE" w:rsidR="00A03FCB" w:rsidRDefault="00A85AE7" w:rsidP="00A03FCB">
          <w:pPr>
            <w:pStyle w:val="TOC3"/>
            <w:spacing w:after="0"/>
            <w:rPr>
              <w:rFonts w:asciiTheme="minorHAnsi" w:eastAsiaTheme="minorEastAsia" w:hAnsiTheme="minorHAnsi" w:cstheme="minorBidi"/>
              <w:noProof/>
              <w:sz w:val="22"/>
              <w:szCs w:val="22"/>
            </w:rPr>
          </w:pPr>
          <w:hyperlink w:anchor="_Toc215747897" w:history="1">
            <w:r w:rsidR="00A03FCB" w:rsidRPr="009D32FE">
              <w:rPr>
                <w:rStyle w:val="Hyperlink"/>
                <w:noProof/>
              </w:rPr>
              <w:t>3.1. Hoàn thiện tiêu chí đánh giá “cải tạo tiến bộ”</w:t>
            </w:r>
            <w:r w:rsidR="00A03FCB">
              <w:rPr>
                <w:noProof/>
                <w:webHidden/>
              </w:rPr>
              <w:tab/>
            </w:r>
            <w:r w:rsidR="00A03FCB">
              <w:rPr>
                <w:noProof/>
                <w:webHidden/>
              </w:rPr>
              <w:fldChar w:fldCharType="begin"/>
            </w:r>
            <w:r w:rsidR="00A03FCB">
              <w:rPr>
                <w:noProof/>
                <w:webHidden/>
              </w:rPr>
              <w:instrText xml:space="preserve"> PAGEREF _Toc215747897 \h </w:instrText>
            </w:r>
            <w:r w:rsidR="00A03FCB">
              <w:rPr>
                <w:noProof/>
                <w:webHidden/>
              </w:rPr>
            </w:r>
            <w:r w:rsidR="00A03FCB">
              <w:rPr>
                <w:noProof/>
                <w:webHidden/>
              </w:rPr>
              <w:fldChar w:fldCharType="separate"/>
            </w:r>
            <w:r w:rsidR="00E475B1">
              <w:rPr>
                <w:noProof/>
                <w:webHidden/>
              </w:rPr>
              <w:t>7</w:t>
            </w:r>
            <w:r w:rsidR="00A03FCB">
              <w:rPr>
                <w:noProof/>
                <w:webHidden/>
              </w:rPr>
              <w:fldChar w:fldCharType="end"/>
            </w:r>
          </w:hyperlink>
        </w:p>
        <w:p w14:paraId="39132172" w14:textId="74EEB255" w:rsidR="00A03FCB" w:rsidRDefault="00A85AE7" w:rsidP="00A03FCB">
          <w:pPr>
            <w:pStyle w:val="TOC3"/>
            <w:spacing w:after="0"/>
            <w:rPr>
              <w:rFonts w:asciiTheme="minorHAnsi" w:eastAsiaTheme="minorEastAsia" w:hAnsiTheme="minorHAnsi" w:cstheme="minorBidi"/>
              <w:noProof/>
              <w:sz w:val="22"/>
              <w:szCs w:val="22"/>
            </w:rPr>
          </w:pPr>
          <w:hyperlink w:anchor="_Toc215747898" w:history="1">
            <w:r w:rsidR="00A03FCB" w:rsidRPr="009D32FE">
              <w:rPr>
                <w:rStyle w:val="Hyperlink"/>
                <w:noProof/>
              </w:rPr>
              <w:t>3.2. Tăng cường tính linh hoạt trong điều kiện thời gian chấp hành</w:t>
            </w:r>
            <w:r w:rsidR="00A03FCB">
              <w:rPr>
                <w:noProof/>
                <w:webHidden/>
              </w:rPr>
              <w:tab/>
            </w:r>
            <w:r w:rsidR="00A03FCB">
              <w:rPr>
                <w:noProof/>
                <w:webHidden/>
              </w:rPr>
              <w:fldChar w:fldCharType="begin"/>
            </w:r>
            <w:r w:rsidR="00A03FCB">
              <w:rPr>
                <w:noProof/>
                <w:webHidden/>
              </w:rPr>
              <w:instrText xml:space="preserve"> PAGEREF _Toc215747898 \h </w:instrText>
            </w:r>
            <w:r w:rsidR="00A03FCB">
              <w:rPr>
                <w:noProof/>
                <w:webHidden/>
              </w:rPr>
            </w:r>
            <w:r w:rsidR="00A03FCB">
              <w:rPr>
                <w:noProof/>
                <w:webHidden/>
              </w:rPr>
              <w:fldChar w:fldCharType="separate"/>
            </w:r>
            <w:r w:rsidR="00E475B1">
              <w:rPr>
                <w:noProof/>
                <w:webHidden/>
              </w:rPr>
              <w:t>7</w:t>
            </w:r>
            <w:r w:rsidR="00A03FCB">
              <w:rPr>
                <w:noProof/>
                <w:webHidden/>
              </w:rPr>
              <w:fldChar w:fldCharType="end"/>
            </w:r>
          </w:hyperlink>
        </w:p>
        <w:p w14:paraId="2DF6F1E0" w14:textId="1B206FD4" w:rsidR="00A03FCB" w:rsidRDefault="00A85AE7" w:rsidP="00A03FCB">
          <w:pPr>
            <w:pStyle w:val="TOC3"/>
            <w:spacing w:after="0"/>
            <w:rPr>
              <w:rFonts w:asciiTheme="minorHAnsi" w:eastAsiaTheme="minorEastAsia" w:hAnsiTheme="minorHAnsi" w:cstheme="minorBidi"/>
              <w:noProof/>
              <w:sz w:val="22"/>
              <w:szCs w:val="22"/>
            </w:rPr>
          </w:pPr>
          <w:hyperlink w:anchor="_Toc215747899" w:history="1">
            <w:r w:rsidR="00A03FCB" w:rsidRPr="009D32FE">
              <w:rPr>
                <w:rStyle w:val="Hyperlink"/>
                <w:noProof/>
              </w:rPr>
              <w:t>3.3. Hoàn thiện cơ chế giám sát trong thời gian thử thách</w:t>
            </w:r>
            <w:r w:rsidR="00A03FCB">
              <w:rPr>
                <w:noProof/>
                <w:webHidden/>
              </w:rPr>
              <w:tab/>
            </w:r>
            <w:r w:rsidR="00A03FCB">
              <w:rPr>
                <w:noProof/>
                <w:webHidden/>
              </w:rPr>
              <w:fldChar w:fldCharType="begin"/>
            </w:r>
            <w:r w:rsidR="00A03FCB">
              <w:rPr>
                <w:noProof/>
                <w:webHidden/>
              </w:rPr>
              <w:instrText xml:space="preserve"> PAGEREF _Toc215747899 \h </w:instrText>
            </w:r>
            <w:r w:rsidR="00A03FCB">
              <w:rPr>
                <w:noProof/>
                <w:webHidden/>
              </w:rPr>
            </w:r>
            <w:r w:rsidR="00A03FCB">
              <w:rPr>
                <w:noProof/>
                <w:webHidden/>
              </w:rPr>
              <w:fldChar w:fldCharType="separate"/>
            </w:r>
            <w:r w:rsidR="00E475B1">
              <w:rPr>
                <w:noProof/>
                <w:webHidden/>
              </w:rPr>
              <w:t>8</w:t>
            </w:r>
            <w:r w:rsidR="00A03FCB">
              <w:rPr>
                <w:noProof/>
                <w:webHidden/>
              </w:rPr>
              <w:fldChar w:fldCharType="end"/>
            </w:r>
          </w:hyperlink>
        </w:p>
        <w:p w14:paraId="75A9E195" w14:textId="25787BD1" w:rsidR="00A03FCB" w:rsidRDefault="00A85AE7" w:rsidP="00A03FCB">
          <w:pPr>
            <w:pStyle w:val="TOC1"/>
            <w:spacing w:after="0"/>
            <w:rPr>
              <w:rFonts w:asciiTheme="minorHAnsi" w:eastAsiaTheme="minorEastAsia" w:hAnsiTheme="minorHAnsi" w:cstheme="minorBidi"/>
              <w:b w:val="0"/>
              <w:sz w:val="22"/>
              <w:szCs w:val="22"/>
            </w:rPr>
          </w:pPr>
          <w:hyperlink w:anchor="_Toc215747900" w:history="1">
            <w:r w:rsidR="00A03FCB" w:rsidRPr="009D32FE">
              <w:rPr>
                <w:rStyle w:val="Hyperlink"/>
              </w:rPr>
              <w:t>KẾT LUẬN</w:t>
            </w:r>
            <w:r w:rsidR="00A03FCB">
              <w:rPr>
                <w:webHidden/>
              </w:rPr>
              <w:tab/>
            </w:r>
            <w:r w:rsidR="00A03FCB">
              <w:rPr>
                <w:webHidden/>
              </w:rPr>
              <w:fldChar w:fldCharType="begin"/>
            </w:r>
            <w:r w:rsidR="00A03FCB">
              <w:rPr>
                <w:webHidden/>
              </w:rPr>
              <w:instrText xml:space="preserve"> PAGEREF _Toc215747900 \h </w:instrText>
            </w:r>
            <w:r w:rsidR="00A03FCB">
              <w:rPr>
                <w:webHidden/>
              </w:rPr>
            </w:r>
            <w:r w:rsidR="00A03FCB">
              <w:rPr>
                <w:webHidden/>
              </w:rPr>
              <w:fldChar w:fldCharType="separate"/>
            </w:r>
            <w:r w:rsidR="00E475B1">
              <w:rPr>
                <w:webHidden/>
              </w:rPr>
              <w:t>9</w:t>
            </w:r>
            <w:r w:rsidR="00A03FCB">
              <w:rPr>
                <w:webHidden/>
              </w:rPr>
              <w:fldChar w:fldCharType="end"/>
            </w:r>
          </w:hyperlink>
        </w:p>
        <w:p w14:paraId="1D861353" w14:textId="052F13D5" w:rsidR="00BA689F" w:rsidRDefault="00BA689F" w:rsidP="00A03FCB">
          <w:r>
            <w:rPr>
              <w:b/>
              <w:bCs/>
              <w:noProof/>
            </w:rPr>
            <w:fldChar w:fldCharType="end"/>
          </w:r>
        </w:p>
      </w:sdtContent>
    </w:sdt>
    <w:p w14:paraId="1518E8FD" w14:textId="6EA564C2" w:rsidR="00455E85" w:rsidRDefault="00455E85" w:rsidP="00A03FCB">
      <w:r>
        <w:br w:type="page"/>
      </w:r>
    </w:p>
    <w:p w14:paraId="3E319890" w14:textId="13817137" w:rsidR="00827985" w:rsidRDefault="00455E85" w:rsidP="00A03FCB">
      <w:pPr>
        <w:ind w:firstLine="0"/>
        <w:jc w:val="center"/>
        <w:rPr>
          <w:rFonts w:eastAsiaTheme="majorEastAsia" w:cstheme="majorBidi"/>
          <w:b/>
          <w:color w:val="2E74B5" w:themeColor="accent1" w:themeShade="BF"/>
          <w:szCs w:val="32"/>
        </w:rPr>
      </w:pPr>
      <w:r>
        <w:rPr>
          <w:rFonts w:eastAsiaTheme="majorEastAsia" w:cstheme="majorBidi"/>
          <w:b/>
          <w:color w:val="2E74B5" w:themeColor="accent1" w:themeShade="BF"/>
          <w:szCs w:val="32"/>
        </w:rPr>
        <w:lastRenderedPageBreak/>
        <w:t xml:space="preserve">DANH MỤC </w:t>
      </w:r>
      <w:r w:rsidR="00B05537">
        <w:rPr>
          <w:rFonts w:eastAsiaTheme="majorEastAsia" w:cstheme="majorBidi"/>
          <w:b/>
          <w:color w:val="2E74B5" w:themeColor="accent1" w:themeShade="BF"/>
          <w:szCs w:val="32"/>
        </w:rPr>
        <w:t>TỪ VIẾT TẮT</w:t>
      </w:r>
    </w:p>
    <w:tbl>
      <w:tblPr>
        <w:tblStyle w:val="TableGrid"/>
        <w:tblW w:w="0" w:type="auto"/>
        <w:tblLayout w:type="fixed"/>
        <w:tblLook w:val="04A0" w:firstRow="1" w:lastRow="0" w:firstColumn="1" w:lastColumn="0" w:noHBand="0" w:noVBand="1"/>
      </w:tblPr>
      <w:tblGrid>
        <w:gridCol w:w="2830"/>
        <w:gridCol w:w="6180"/>
      </w:tblGrid>
      <w:tr w:rsidR="008844C8" w14:paraId="34285A3D" w14:textId="77777777" w:rsidTr="00A4030A">
        <w:tc>
          <w:tcPr>
            <w:tcW w:w="2830" w:type="dxa"/>
          </w:tcPr>
          <w:p w14:paraId="087CA626" w14:textId="46E71DF9" w:rsidR="008844C8" w:rsidRDefault="008844C8" w:rsidP="00A03FCB">
            <w:pPr>
              <w:spacing w:line="360" w:lineRule="auto"/>
              <w:ind w:firstLine="0"/>
              <w:rPr>
                <w:rFonts w:eastAsiaTheme="majorEastAsia" w:cstheme="majorBidi"/>
                <w:b/>
                <w:color w:val="2E74B5" w:themeColor="accent1" w:themeShade="BF"/>
                <w:szCs w:val="32"/>
              </w:rPr>
            </w:pPr>
            <w:r w:rsidRPr="00DE21B4">
              <w:t>BLHS</w:t>
            </w:r>
          </w:p>
        </w:tc>
        <w:tc>
          <w:tcPr>
            <w:tcW w:w="6180" w:type="dxa"/>
          </w:tcPr>
          <w:p w14:paraId="30FEA5B8" w14:textId="5E46B273" w:rsidR="008844C8" w:rsidRDefault="008844C8" w:rsidP="00A03FCB">
            <w:pPr>
              <w:spacing w:line="360" w:lineRule="auto"/>
              <w:ind w:firstLine="0"/>
              <w:rPr>
                <w:rFonts w:eastAsiaTheme="majorEastAsia" w:cstheme="majorBidi"/>
                <w:b/>
                <w:color w:val="2E74B5" w:themeColor="accent1" w:themeShade="BF"/>
                <w:szCs w:val="32"/>
              </w:rPr>
            </w:pPr>
            <w:r w:rsidRPr="00DE21B4">
              <w:t>Bộ luật hình sự</w:t>
            </w:r>
          </w:p>
        </w:tc>
      </w:tr>
      <w:tr w:rsidR="008844C8" w14:paraId="0D302EC9" w14:textId="77777777" w:rsidTr="00A4030A">
        <w:tc>
          <w:tcPr>
            <w:tcW w:w="2830" w:type="dxa"/>
          </w:tcPr>
          <w:p w14:paraId="2111FCDD" w14:textId="75D8EB7E" w:rsidR="008844C8" w:rsidRPr="008B0046" w:rsidRDefault="008844C8" w:rsidP="00A03FCB">
            <w:pPr>
              <w:spacing w:line="360" w:lineRule="auto"/>
              <w:ind w:firstLine="0"/>
            </w:pPr>
            <w:r w:rsidRPr="00DE21B4">
              <w:t>TNHS</w:t>
            </w:r>
          </w:p>
        </w:tc>
        <w:tc>
          <w:tcPr>
            <w:tcW w:w="6180" w:type="dxa"/>
          </w:tcPr>
          <w:p w14:paraId="4A1E730A" w14:textId="31029F54" w:rsidR="008844C8" w:rsidRPr="008B0046" w:rsidRDefault="008844C8" w:rsidP="00A03FCB">
            <w:pPr>
              <w:spacing w:line="360" w:lineRule="auto"/>
              <w:ind w:firstLine="0"/>
            </w:pPr>
            <w:r w:rsidRPr="00DE21B4">
              <w:t>Trách nhiệm hình sự</w:t>
            </w:r>
          </w:p>
        </w:tc>
      </w:tr>
    </w:tbl>
    <w:p w14:paraId="0BA75286" w14:textId="77777777" w:rsidR="00193D99" w:rsidRPr="00EB07C6" w:rsidRDefault="00193D99" w:rsidP="00A03FCB">
      <w:pPr>
        <w:ind w:firstLine="0"/>
        <w:rPr>
          <w:rFonts w:eastAsiaTheme="majorEastAsia" w:cstheme="majorBidi"/>
          <w:b/>
          <w:color w:val="2E74B5" w:themeColor="accent1" w:themeShade="BF"/>
          <w:szCs w:val="32"/>
        </w:rPr>
        <w:sectPr w:rsidR="00193D99" w:rsidRPr="00EB07C6" w:rsidSect="00CA0C79">
          <w:headerReference w:type="default" r:id="rId9"/>
          <w:pgSz w:w="11900" w:h="16840"/>
          <w:pgMar w:top="1814" w:right="1814" w:bottom="1814" w:left="1814" w:header="850" w:footer="6"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titlePg/>
          <w:docGrid w:linePitch="381"/>
        </w:sectPr>
      </w:pPr>
    </w:p>
    <w:p w14:paraId="21037571" w14:textId="77777777" w:rsidR="007474B8" w:rsidRDefault="007474B8" w:rsidP="00A03FCB"/>
    <w:p w14:paraId="1CBD20FB" w14:textId="2203B11A" w:rsidR="007474B8" w:rsidRDefault="007474B8" w:rsidP="00A03FCB">
      <w:pPr>
        <w:pStyle w:val="Heading1"/>
      </w:pPr>
      <w:bookmarkStart w:id="0" w:name="_Toc215747893"/>
      <w:r>
        <w:t>LỜI MỞ ĐẦU</w:t>
      </w:r>
      <w:bookmarkEnd w:id="0"/>
    </w:p>
    <w:p w14:paraId="1EA7081D" w14:textId="77777777" w:rsidR="007474B8" w:rsidRDefault="007474B8" w:rsidP="00A03FCB">
      <w:r>
        <w:t>Trong xu thế hội nhập và cải cách tư pháp toàn cầu, việc hoàn thiện các chế định pháp luật hình sự theo hướng nhân đạo, tiến bộ, đề cao mục đích cải tạo, giáo dục người phạm tội đang trở thành một nguyên tắc phổ quát. Trong số các chính sách thể hiện rõ nét tinh thần này, chế định tha tù trước thời hạn có điều kiện giữ một vai trò đặc biệt quan trọng. Đây không chỉ là sự ghi nhận những tiến bộ trong quá trình cải tạo của phạm nhân mà còn là công cụ hữu hiệu để giảm áp lực cho hệ thống trại giam, tạo cơ hội cho người phạm tội tái hòa nhập cộng đồng một cách sớm nhất, góp phần ổn định trật tự xã hội. Là hai quốc gia láng giềng có nhiều nét tương đồng về văn hóa, chính trị - xã hội và đặc biệt là cùng theo đuổi mô hình Nhà nước pháp quyền xã hội chủ nghĩa, Việt Nam và Trung Quốc đều sớm ghi nhận và không ngừng hoàn thiện chế định tha tù trước thời hạn trong hệ thống pháp luật hình sự của mình. Sự tương đồng trong tư duy lập pháp xuất phát từ mục tiêu chung là cân bằng giữa yêu cầu trừng trị tội phạm và chính sách khoan hồng, nhân đạo của Nhà nước.</w:t>
      </w:r>
    </w:p>
    <w:p w14:paraId="08EF0C97" w14:textId="77777777" w:rsidR="007474B8" w:rsidRDefault="007474B8" w:rsidP="00A03FCB">
      <w:r>
        <w:t xml:space="preserve">Xuất phát từ nhận thức đó, tiểu luận với đề tài: </w:t>
      </w:r>
      <w:r w:rsidRPr="00876007">
        <w:rPr>
          <w:b/>
        </w:rPr>
        <w:t>“So sánh điểm tương đồng trong Bộ luật Hình sự Việt Nam và Bộ luật Hình sự Trung Quốc về tha tù trước thời hạn”</w:t>
      </w:r>
      <w:r>
        <w:t xml:space="preserve"> được thực hiện nhằm mục đích làm sáng tỏ những điểm gặp gỡ trong quy định pháp luật của hai nước về điều kiện, thủ tục và ý nghĩa của chế định này. Việc phân tích những điểm tương đồng không chỉ khẳng định tính phổ biến của các nguyên tắc tiến bộ trong luật hình sự hiện đại, mà còn mở ra cơ hội học hỏi, trao đổi kinh nghiệm lập pháp giữa hai quốc gia, góp phần vào công cuộc cải cách tư pháp và hoàn thiện hệ thống pháp luật ở mỗi nước.</w:t>
      </w:r>
    </w:p>
    <w:p w14:paraId="6593B24F" w14:textId="77777777" w:rsidR="007474B8" w:rsidRDefault="007474B8" w:rsidP="00A03FCB">
      <w:r>
        <w:br w:type="page"/>
      </w:r>
    </w:p>
    <w:p w14:paraId="55C2BE57" w14:textId="2B0A3259" w:rsidR="007474B8" w:rsidRDefault="007474B8" w:rsidP="00A03FCB">
      <w:pPr>
        <w:pStyle w:val="Heading2"/>
      </w:pPr>
      <w:bookmarkStart w:id="1" w:name="_Toc215747894"/>
      <w:r>
        <w:lastRenderedPageBreak/>
        <w:t>1. So sánh điểm tương đồng trong Bộ luật Hình sự Việt Nam và Bộ luật Hình sự Trung Quốc về tha tù trước thời hạn có điều kiện</w:t>
      </w:r>
      <w:bookmarkEnd w:id="1"/>
    </w:p>
    <w:p w14:paraId="2B0D065E" w14:textId="77777777" w:rsidR="007474B8" w:rsidRDefault="007474B8" w:rsidP="00A03FCB">
      <w:r>
        <w:t>Tha tù trước thời hạn có điều kiện là một chế định quan trọng, thể hiện chính sách khoan hồng của Nhà nước đối với người phạm tội có quá trình cải tạo tốt. Trong Bộ luật Hình sự Việt Nam (Điều 66 và Điều 106) và Bộ luật Hình sự Trung Quốc (từ Điều 81 đến Điều 86) đều có quy định về chế định này. Tuy có nhiều điểm khác biệt nhất định nhưng cả hai quốc gia vẫn có những điểm tương đồng thể hiện xu hướng chung trong pháp luật hình sự hiện đại trong quy định.</w:t>
      </w:r>
    </w:p>
    <w:p w14:paraId="2DBA1A2B" w14:textId="77777777" w:rsidR="007474B8" w:rsidRDefault="007474B8" w:rsidP="00A03FCB">
      <w:bookmarkStart w:id="2" w:name="_GoBack"/>
      <w:r w:rsidRPr="009914AA">
        <w:rPr>
          <w:i/>
        </w:rPr>
        <w:t xml:space="preserve">Thứ nhất, </w:t>
      </w:r>
      <w:bookmarkEnd w:id="2"/>
      <w:r>
        <w:t>mục đích hướng đến chính sách nhân đạo và cải tạo: Cả hai quốc gia đều xây dựng chế định tha tù trước thời hạn dựa trên chính sách nhân đạo và giáo dục, nhằm khuyến khích phạm nhân cải tạo, thể hiện sự hướng thiện và tạo điều kiện cho họ tái hòa nhập cộng đồng. Tại Việt Nam, chế định này được coi là một bước tiến quan trọng, thể hiện chính sách nhân đạo của Đảng và Nhà nước, hướng đến mục tiêu phòng ngừa tái phạm và tính hướng thiện trong xử lý người phạm tội, việc áp dụng chế định này không chỉ giúp giảm gánh nặng cho hệ thống quản lý trại giam mà còn tạo cơ hội cho phạm nhân đã thực sự cải tạo tốt có thể trở về với gia đình và xã hội sớm hơn. Tại Trung Quốc, việc tạm tha là một biện pháp nhân đạo với mục đích giáo dục và cải tạo tội phạm, khuyến khích họ cải tạo để sớm trở về xã hội.</w:t>
      </w:r>
    </w:p>
    <w:p w14:paraId="0D907F34" w14:textId="722C2A8F" w:rsidR="007474B8" w:rsidRDefault="007474B8" w:rsidP="00A03FCB">
      <w:r w:rsidRPr="009914AA">
        <w:rPr>
          <w:i/>
        </w:rPr>
        <w:t xml:space="preserve">Thứ hai, </w:t>
      </w:r>
      <w:r>
        <w:t>yêu cầu về sự cải tạo, ăn năn hối cải: Tiêu chí cốt lõi ở cả hai quốc gia là sự thể hiện của phạm nhân về việc cải tạo tiến bộ, ăn năn hối cải. Pháp luật Việt Nam quy định người được tha tù phải “có nhiều tiến bộ, có ý thức cải tạo tốt” trong quá trình chấp hành án. Tiêu chí này được đánh giá dựa trên thái độ học tập, lao động và chấp hành nội quy định giam của phạm nhân. Tương tự, pháp luật Trung Quốc yêu cầu người bị kết án phải “nghiêm túc tuân thủ các quy định của trại giam, chấp nhận giáo dục và cải tạo thông qua lao động và thể hiện sự ăn năn hối cải thực sự”</w:t>
      </w:r>
      <w:r>
        <w:rPr>
          <w:rStyle w:val="FootnoteReference"/>
        </w:rPr>
        <w:footnoteReference w:id="1"/>
      </w:r>
      <w:r>
        <w:t>.</w:t>
      </w:r>
    </w:p>
    <w:p w14:paraId="7B6CAD80" w14:textId="535545F0" w:rsidR="007474B8" w:rsidRDefault="007474B8" w:rsidP="00A03FCB">
      <w:r w:rsidRPr="009914AA">
        <w:rPr>
          <w:i/>
        </w:rPr>
        <w:lastRenderedPageBreak/>
        <w:t xml:space="preserve">Thứ ba, </w:t>
      </w:r>
      <w:r>
        <w:t>cơ quan có thẩm quyền quyết định: Cả hai hệ thống pháp luật đều trao quyền quyết định cuối cùng cho Tòa án. Việc trao quyền quyết định cho Tòa án đảm bảo tính khách quan và công bằng trong quá trình xét duyệt, ngăn chặn các hành vi lạm dụng hay tham nhũng. Tại Việt Nam, Tòa án là cơ quan duy nhất có thẩm quyền ra quyết định tha tù trước thời hạn có điều kiện đối với người bị kết án dựa trên đề nghị của cơ quan thi hành án hình sự có thẩm quyền</w:t>
      </w:r>
      <w:r>
        <w:rPr>
          <w:rStyle w:val="FootnoteReference"/>
        </w:rPr>
        <w:footnoteReference w:id="2"/>
      </w:r>
      <w:r>
        <w:t>. Tại Trung Quốc, quyền quyết định tạm tha là quyền tư pháp thuộc về Tòa án nhân dân, quá trình này bắt đầu bằng việc cơ quan thi hành án (trại giam) đệ trình đề xuất bằng văn bản lên Tòa án.</w:t>
      </w:r>
    </w:p>
    <w:p w14:paraId="13490FDF" w14:textId="77777777" w:rsidR="007474B8" w:rsidRDefault="007474B8" w:rsidP="00A03FCB">
      <w:r w:rsidRPr="009914AA">
        <w:rPr>
          <w:i/>
        </w:rPr>
        <w:t xml:space="preserve">Thứ tư, </w:t>
      </w:r>
      <w:r>
        <w:t>đều quy định thời gian chấp hành án tối thiểu: Để đảm bảo tính nghiêm minh của bản án, cả hai quốc gia đều đặt ra ngưỡng thời gian tối thiểu mà phạm nhân phải chấp hành án tù thực tế trước khi đủ điều kiện được xét tha tù. Theo quy định tại điểm đ khoản 1 Điều 66 Bộ luật Hình sự Việt Nam, người bị kết án tù có thời hạn phải chấp hành được ít nhất một phần hai mức phạt tù hoặc ít nhất 15 năm đối với tù chung thân đã được giảm xuống tù có thời hạn. Theo quy định tại Điều 81 Bộ luật Hình sự Trung Quốc, có thể tạm tha những người bị kết án tù có thời hạn đã chấp hành được một phần hai thời hạn trở lên, trường hợp bị kết án tù chung thân thì thực tế phải chấp hành được 13 năm trở lên. Việc thiết lập các ngưỡng thời gian cụ thể như vậy sẽ giúp đảm bảo rằng người phạm tội phải chịu một mức độ trừng phạt nhất định trước khi được xem xét hưởng chính sách khoan hồng.</w:t>
      </w:r>
    </w:p>
    <w:p w14:paraId="74F2A7F7" w14:textId="7B10E4A2" w:rsidR="007474B8" w:rsidRDefault="007474B8" w:rsidP="00A03FCB">
      <w:r w:rsidRPr="009914AA">
        <w:rPr>
          <w:i/>
        </w:rPr>
        <w:t xml:space="preserve">Thứ năm, </w:t>
      </w:r>
      <w:r>
        <w:t xml:space="preserve">giai đoạn thử thách và giám sát sau khi ra tù: Sau khi được tha tù trước thời hạn, cả hai hệ thống pháp luật đều không trả tự do hoàn toàn mà đặt người phạm tội vào một thời gian thử thách dưới sự giám sát của cơ quan có thẩm quyền. Theo quy định tại khoản 3 Điều 66 Bộ luật Hình sự Việt Nam, thời gian thử thách bằng với thời gian còn lại của hình phạt tù chưa chấp hành và người được tha tù trước thời hạn có điều kiện phải thực hiện các nghĩa vụ trong thời gian này. Nếu vi phạm, Tòa án có thể hủy bỏ quyết định tha tù trước thời hạn có điều </w:t>
      </w:r>
      <w:r>
        <w:lastRenderedPageBreak/>
        <w:t>kiện và buộc họ phải chấp hành phần thời gian tù còn lại chưa chấp hành</w:t>
      </w:r>
      <w:r>
        <w:rPr>
          <w:rStyle w:val="FootnoteReference"/>
        </w:rPr>
        <w:footnoteReference w:id="3"/>
      </w:r>
      <w:r>
        <w:t>. Tương tự, quy định tại từ Điều 83 đến Điều 86 Bộ luật Hình sự Trung Quốc, thời gian thử thách đối với án tù có thời hạn bằng phần thời gian còn lại của bản án và người được tha tù phải tuân thủ các quy định trong luật, đồng thời phải chịu sự giám sát của cơ quan Công an.</w:t>
      </w:r>
    </w:p>
    <w:p w14:paraId="1C229349" w14:textId="6A57F60C" w:rsidR="007474B8" w:rsidRDefault="007474B8" w:rsidP="00A03FCB">
      <w:pPr>
        <w:pStyle w:val="Heading2"/>
      </w:pPr>
      <w:bookmarkStart w:id="3" w:name="_Toc215747895"/>
      <w:r>
        <w:t>2. So sánh điềm khác biệt trong Bộ luật hình sự Việt Nam và Bộ luật hình sự Trung Quốc về tha tù trước thời hạn có điều kiện.</w:t>
      </w:r>
      <w:bookmarkEnd w:id="3"/>
    </w:p>
    <w:p w14:paraId="7579285D" w14:textId="77777777" w:rsidR="007474B8" w:rsidRDefault="007474B8" w:rsidP="00A03FCB">
      <w:r>
        <w:t>Đối với chế định tha tù trước thời hạn có điều kiện, giữa Bộ luật Hình sự Việt Nam và Bộ luật Hình sự Trung Quốc có những điểm khác biệt như sau:</w:t>
      </w:r>
    </w:p>
    <w:tbl>
      <w:tblPr>
        <w:tblStyle w:val="TableGrid"/>
        <w:tblW w:w="0" w:type="auto"/>
        <w:tblLook w:val="04A0" w:firstRow="1" w:lastRow="0" w:firstColumn="1" w:lastColumn="0" w:noHBand="0" w:noVBand="1"/>
      </w:tblPr>
      <w:tblGrid>
        <w:gridCol w:w="1555"/>
        <w:gridCol w:w="3685"/>
        <w:gridCol w:w="3815"/>
      </w:tblGrid>
      <w:tr w:rsidR="007474B8" w14:paraId="739241B3" w14:textId="77777777" w:rsidTr="007474B8">
        <w:tc>
          <w:tcPr>
            <w:tcW w:w="1555" w:type="dxa"/>
          </w:tcPr>
          <w:p w14:paraId="493DA9EF" w14:textId="135BD1B1" w:rsidR="007474B8" w:rsidRDefault="007474B8" w:rsidP="00A03FCB">
            <w:pPr>
              <w:spacing w:line="360" w:lineRule="auto"/>
              <w:ind w:firstLine="0"/>
            </w:pPr>
            <w:r>
              <w:t>Tiêu chí</w:t>
            </w:r>
          </w:p>
        </w:tc>
        <w:tc>
          <w:tcPr>
            <w:tcW w:w="3685" w:type="dxa"/>
          </w:tcPr>
          <w:p w14:paraId="5DAD1E7F" w14:textId="18E8BADA" w:rsidR="007474B8" w:rsidRDefault="007474B8" w:rsidP="00A03FCB">
            <w:pPr>
              <w:spacing w:line="360" w:lineRule="auto"/>
              <w:ind w:firstLine="0"/>
              <w:jc w:val="center"/>
            </w:pPr>
            <w:r w:rsidRPr="00A03FCB">
              <w:rPr>
                <w:b/>
              </w:rPr>
              <w:t>Bộ luật Hình sự Việt Nam</w:t>
            </w:r>
            <w:r>
              <w:rPr>
                <w:rStyle w:val="FootnoteReference"/>
              </w:rPr>
              <w:footnoteReference w:id="4"/>
            </w:r>
          </w:p>
        </w:tc>
        <w:tc>
          <w:tcPr>
            <w:tcW w:w="3815" w:type="dxa"/>
          </w:tcPr>
          <w:p w14:paraId="5577E4D2" w14:textId="168FA2D7" w:rsidR="007474B8" w:rsidRPr="00A03FCB" w:rsidRDefault="007474B8" w:rsidP="00A03FCB">
            <w:pPr>
              <w:spacing w:line="360" w:lineRule="auto"/>
              <w:ind w:firstLine="0"/>
              <w:jc w:val="center"/>
              <w:rPr>
                <w:b/>
              </w:rPr>
            </w:pPr>
            <w:r w:rsidRPr="00A03FCB">
              <w:rPr>
                <w:b/>
              </w:rPr>
              <w:t>Bộ luật Hình sự Trung Quốc</w:t>
            </w:r>
          </w:p>
        </w:tc>
      </w:tr>
      <w:tr w:rsidR="007474B8" w14:paraId="185F2237" w14:textId="77777777" w:rsidTr="007474B8">
        <w:tc>
          <w:tcPr>
            <w:tcW w:w="1555" w:type="dxa"/>
          </w:tcPr>
          <w:p w14:paraId="4CEF6211" w14:textId="392A84D6" w:rsidR="007474B8" w:rsidRDefault="004C625B" w:rsidP="00A03FCB">
            <w:pPr>
              <w:spacing w:line="360" w:lineRule="auto"/>
              <w:ind w:firstLine="0"/>
            </w:pPr>
            <w:r w:rsidRPr="004C625B">
              <w:t>Tên gọi</w:t>
            </w:r>
          </w:p>
        </w:tc>
        <w:tc>
          <w:tcPr>
            <w:tcW w:w="3685" w:type="dxa"/>
          </w:tcPr>
          <w:p w14:paraId="169211B3" w14:textId="38EEB88B" w:rsidR="007474B8" w:rsidRDefault="004C625B" w:rsidP="00A03FCB">
            <w:pPr>
              <w:spacing w:line="360" w:lineRule="auto"/>
              <w:ind w:firstLine="0"/>
            </w:pPr>
            <w:r w:rsidRPr="004C625B">
              <w:t xml:space="preserve"> “Tha tù trước thời hạn có điều kiện”</w:t>
            </w:r>
          </w:p>
        </w:tc>
        <w:tc>
          <w:tcPr>
            <w:tcW w:w="3815" w:type="dxa"/>
          </w:tcPr>
          <w:p w14:paraId="24FF0FD0" w14:textId="77777777" w:rsidR="004C625B" w:rsidRDefault="004C625B" w:rsidP="00A03FCB">
            <w:pPr>
              <w:spacing w:line="360" w:lineRule="auto"/>
              <w:ind w:firstLine="0"/>
            </w:pPr>
            <w:r>
              <w:t>(</w:t>
            </w:r>
            <w:r>
              <w:rPr>
                <w:rFonts w:ascii="MS Gothic" w:hAnsi="MS Gothic" w:cs="MS Gothic"/>
              </w:rPr>
              <w:t>假</w:t>
            </w:r>
            <w:r>
              <w:rPr>
                <w:rFonts w:ascii="SimSun" w:eastAsia="SimSun" w:hAnsi="SimSun" w:cs="SimSun" w:hint="eastAsia"/>
              </w:rPr>
              <w:t>释</w:t>
            </w:r>
            <w:r>
              <w:t>) “Parole” dịch là: “Tạm</w:t>
            </w:r>
          </w:p>
          <w:p w14:paraId="7CBDCC9A" w14:textId="680E6059" w:rsidR="007474B8" w:rsidRDefault="004C625B" w:rsidP="00A03FCB">
            <w:pPr>
              <w:spacing w:line="360" w:lineRule="auto"/>
              <w:ind w:firstLine="0"/>
            </w:pPr>
            <w:r>
              <w:t>tha”</w:t>
            </w:r>
          </w:p>
        </w:tc>
      </w:tr>
      <w:tr w:rsidR="007474B8" w14:paraId="2C99BD4B" w14:textId="77777777" w:rsidTr="007474B8">
        <w:tc>
          <w:tcPr>
            <w:tcW w:w="1555" w:type="dxa"/>
          </w:tcPr>
          <w:p w14:paraId="14B04B9C" w14:textId="3B72E531" w:rsidR="007474B8" w:rsidRDefault="004C625B" w:rsidP="00A03FCB">
            <w:pPr>
              <w:spacing w:line="360" w:lineRule="auto"/>
              <w:ind w:firstLine="0"/>
            </w:pPr>
            <w:r w:rsidRPr="004C625B">
              <w:t>Điều kiện về thời hạn chấp hành án phạt tù tối thiểu</w:t>
            </w:r>
          </w:p>
        </w:tc>
        <w:tc>
          <w:tcPr>
            <w:tcW w:w="3685" w:type="dxa"/>
          </w:tcPr>
          <w:p w14:paraId="05142FE3" w14:textId="77777777" w:rsidR="004C625B" w:rsidRDefault="004C625B" w:rsidP="00A03FCB">
            <w:pPr>
              <w:spacing w:line="360" w:lineRule="auto"/>
              <w:ind w:firstLine="0"/>
            </w:pPr>
            <w:r>
              <w:t>- Người bị kết án chung thân được giảm xuống tù có thời hạn đã chấp hành ít nhất 15 năm tù;</w:t>
            </w:r>
          </w:p>
          <w:p w14:paraId="4A5158EB" w14:textId="727DCFCF" w:rsidR="007474B8" w:rsidRDefault="004C625B" w:rsidP="00A03FCB">
            <w:pPr>
              <w:spacing w:line="360" w:lineRule="auto"/>
              <w:ind w:firstLine="0"/>
            </w:pPr>
            <w:r>
              <w:t>- Người có công với cách mạng, thân nhân của người có công với cách mạng, người đủ 70 tuổi trở lên, người khuyết tật nặng hoặc khuyết tật đặc biệt nặng, phụ nữ đang nuôi con dưới 36 tháng tuổi đã chấp hành ít nhất 1/3 mức phạt tù hoặc ít nhất là 12 năm đối với trường hợp bị phạt tù chung thân đã được giảm xuống tù có thời hạn.</w:t>
            </w:r>
          </w:p>
        </w:tc>
        <w:tc>
          <w:tcPr>
            <w:tcW w:w="3815" w:type="dxa"/>
          </w:tcPr>
          <w:p w14:paraId="6FC6D434" w14:textId="77777777" w:rsidR="004C625B" w:rsidRDefault="004C625B" w:rsidP="00A03FCB">
            <w:pPr>
              <w:spacing w:line="360" w:lineRule="auto"/>
              <w:ind w:firstLine="0"/>
            </w:pPr>
            <w:r>
              <w:t>- Người bị kết án tù chung thân đã chấp hành ít nhất 10 năm có thể được xem xét để tạm tha;</w:t>
            </w:r>
          </w:p>
          <w:p w14:paraId="2DCD0085" w14:textId="0D1AAFA0" w:rsidR="007474B8" w:rsidRDefault="004C625B" w:rsidP="00A03FCB">
            <w:pPr>
              <w:spacing w:line="360" w:lineRule="auto"/>
              <w:ind w:firstLine="0"/>
            </w:pPr>
            <w:r>
              <w:t xml:space="preserve">- Nếu có tình tiết đặc biệt, sau khi được Tòa án Nhân dân Tối cao xác minh và phê chuẩn, có thể </w:t>
            </w:r>
            <w:r w:rsidRPr="004C625B">
              <w:rPr>
                <w:b/>
              </w:rPr>
              <w:t>không áp dụng</w:t>
            </w:r>
            <w:r>
              <w:t xml:space="preserve"> những hạn chế nêu trên về thời gian đã chấp hành hình phạt.</w:t>
            </w:r>
            <w:r w:rsidR="00EC2972">
              <w:rPr>
                <w:rStyle w:val="FootnoteReference"/>
              </w:rPr>
              <w:footnoteReference w:id="5"/>
            </w:r>
          </w:p>
        </w:tc>
      </w:tr>
      <w:tr w:rsidR="007474B8" w14:paraId="014ED2DB" w14:textId="77777777" w:rsidTr="007474B8">
        <w:tc>
          <w:tcPr>
            <w:tcW w:w="1555" w:type="dxa"/>
          </w:tcPr>
          <w:p w14:paraId="20FFAAF5" w14:textId="42BF40B0" w:rsidR="007474B8" w:rsidRDefault="004C625B" w:rsidP="00A03FCB">
            <w:pPr>
              <w:spacing w:line="360" w:lineRule="auto"/>
              <w:ind w:firstLine="0"/>
              <w:jc w:val="left"/>
            </w:pPr>
            <w:r w:rsidRPr="004C625B">
              <w:lastRenderedPageBreak/>
              <w:t>Điều kiện cho từng loại tội phạm cụ thể</w:t>
            </w:r>
          </w:p>
        </w:tc>
        <w:tc>
          <w:tcPr>
            <w:tcW w:w="3685" w:type="dxa"/>
          </w:tcPr>
          <w:p w14:paraId="21C3A40D" w14:textId="34D288BB" w:rsidR="004C625B" w:rsidRDefault="004C625B" w:rsidP="00A03FCB">
            <w:pPr>
              <w:spacing w:line="360" w:lineRule="auto"/>
              <w:ind w:firstLine="0"/>
            </w:pPr>
            <w:r>
              <w:t>- Người đang chấp hành án phạt tù về tội phạm nghiêm trọng, tội phạm rất nghiêm trọng hoặc tội phạm đặc biệt nghiêm trọng mà đã được giảm thời hạn chấp hành án phạt tù;</w:t>
            </w:r>
          </w:p>
          <w:p w14:paraId="0B4E4223" w14:textId="662932C2" w:rsidR="007474B8" w:rsidRDefault="004C625B" w:rsidP="00A03FCB">
            <w:pPr>
              <w:spacing w:line="360" w:lineRule="auto"/>
              <w:ind w:firstLine="0"/>
            </w:pPr>
            <w:r>
              <w:t>- Người đang chấp hành án phạt tù về tội phạm ít nghiêm trọng.</w:t>
            </w:r>
          </w:p>
        </w:tc>
        <w:tc>
          <w:tcPr>
            <w:tcW w:w="3815" w:type="dxa"/>
          </w:tcPr>
          <w:p w14:paraId="544BF6FB" w14:textId="3B85778A" w:rsidR="007474B8" w:rsidRDefault="004C625B" w:rsidP="00A03FCB">
            <w:pPr>
              <w:spacing w:line="360" w:lineRule="auto"/>
              <w:ind w:firstLine="0"/>
            </w:pPr>
            <w:r w:rsidRPr="004C625B">
              <w:t>Không có quy định cho từng loại tội phạm cụ thể.</w:t>
            </w:r>
          </w:p>
        </w:tc>
      </w:tr>
      <w:tr w:rsidR="007474B8" w14:paraId="5EA5091B" w14:textId="77777777" w:rsidTr="007474B8">
        <w:tc>
          <w:tcPr>
            <w:tcW w:w="1555" w:type="dxa"/>
          </w:tcPr>
          <w:p w14:paraId="27401278" w14:textId="77777777" w:rsidR="00EC2972" w:rsidRDefault="00EC2972" w:rsidP="00A03FCB">
            <w:pPr>
              <w:spacing w:line="360" w:lineRule="auto"/>
              <w:ind w:firstLine="0"/>
            </w:pPr>
            <w:r>
              <w:t>Các</w:t>
            </w:r>
          </w:p>
          <w:p w14:paraId="47FBBC9A" w14:textId="6011546B" w:rsidR="007474B8" w:rsidRDefault="00EC2972" w:rsidP="00A03FCB">
            <w:pPr>
              <w:spacing w:line="360" w:lineRule="auto"/>
              <w:ind w:firstLine="0"/>
            </w:pPr>
            <w:r>
              <w:t>trường hợp không được áp dung</w:t>
            </w:r>
          </w:p>
        </w:tc>
        <w:tc>
          <w:tcPr>
            <w:tcW w:w="3685" w:type="dxa"/>
          </w:tcPr>
          <w:p w14:paraId="35F14943" w14:textId="127BE3E5" w:rsidR="00EC2972" w:rsidRDefault="00EC2972" w:rsidP="00A03FCB">
            <w:pPr>
              <w:spacing w:line="360" w:lineRule="auto"/>
              <w:ind w:firstLine="0"/>
            </w:pPr>
            <w:r>
              <w:t>-</w:t>
            </w:r>
            <w:r w:rsidR="00A03FCB">
              <w:t xml:space="preserve"> </w:t>
            </w:r>
            <w:r>
              <w:t>Người bị kết án về các tội xâm phạm an ninh quốc gia, các tội phá hoại hòa bình, chống loại người và tội phạm chiến tranh, tội khủng bố;</w:t>
            </w:r>
          </w:p>
          <w:p w14:paraId="081956F5" w14:textId="4AD3B3B8" w:rsidR="00EC2972" w:rsidRDefault="00EC2972" w:rsidP="00A03FCB">
            <w:pPr>
              <w:spacing w:line="360" w:lineRule="auto"/>
              <w:ind w:firstLine="0"/>
            </w:pPr>
            <w:r>
              <w:t>-</w:t>
            </w:r>
            <w:r w:rsidR="00A03FCB">
              <w:t xml:space="preserve"> </w:t>
            </w:r>
            <w:r>
              <w:t>Người bị kết án 10 năm tù trở lên về các tội xâm phạm tính mạng, sức khỏe, nhân phẩm, danh dự của con người do cố ý hoặc người bị kết án 07 năm tù trở lên đối với các tội cướp tài sản, tội bắt cóc nhằm chiếm đoạt tài sản, tội sản xuất trái phép chất ma túy, tội mua bán trái phép chất ma túy, tội chiếm đoạt trái phép chất ma túy;</w:t>
            </w:r>
          </w:p>
          <w:p w14:paraId="0905744A" w14:textId="56A9E777" w:rsidR="007474B8" w:rsidRDefault="00EC2972" w:rsidP="00A03FCB">
            <w:pPr>
              <w:spacing w:line="360" w:lineRule="auto"/>
              <w:ind w:firstLine="0"/>
            </w:pPr>
            <w:r>
              <w:t xml:space="preserve">- Người bị kết án tử hình được ân giảm </w:t>
            </w:r>
          </w:p>
          <w:p w14:paraId="06857451" w14:textId="4F21A529" w:rsidR="00EC2972" w:rsidRDefault="00EC2972" w:rsidP="00A03FCB">
            <w:pPr>
              <w:spacing w:line="360" w:lineRule="auto"/>
              <w:ind w:firstLine="0"/>
            </w:pPr>
            <w:r>
              <w:lastRenderedPageBreak/>
              <w:t>- Trường hợp không thi hành án tử hình do là phụ nữ có thai hoặc phụ nữ đang nuôi con dưới 36 tháng tuổi; Người đủ 75 tuổi trở lên; Người bị kết án tử hình về tội tham ô tài sản, tội nhận hối lộ mà sau khi bị kết án đã chủ động nộp lại ít nhất ba phần tư tài sản tham ô, nhận hối lộ và hợp tác tích cực với cơ quan chức năng trong việc</w:t>
            </w:r>
          </w:p>
          <w:p w14:paraId="1F7F3DC2" w14:textId="48CC0A09" w:rsidR="00EC2972" w:rsidRDefault="00EC2972" w:rsidP="00A03FCB">
            <w:pPr>
              <w:spacing w:line="360" w:lineRule="auto"/>
              <w:ind w:firstLine="0"/>
            </w:pPr>
            <w:r>
              <w:t>phát hiện, điều tra, xử lý tội phạm hoặc lập công lớn.</w:t>
            </w:r>
          </w:p>
        </w:tc>
        <w:tc>
          <w:tcPr>
            <w:tcW w:w="3815" w:type="dxa"/>
          </w:tcPr>
          <w:p w14:paraId="6F710A4C" w14:textId="1C79501F" w:rsidR="007474B8" w:rsidRDefault="00EC2972" w:rsidP="00A03FCB">
            <w:pPr>
              <w:spacing w:line="360" w:lineRule="auto"/>
              <w:ind w:firstLine="0"/>
            </w:pPr>
            <w:r w:rsidRPr="00EC2972">
              <w:lastRenderedPageBreak/>
              <w:t>Người phạm tội bị kết án hơn 10 năm tù hoặc tù chung thân về các tội phạm bạo lực như: giết người, nổ mìn, cướp, hiếp dâm, bắt có</w:t>
            </w:r>
            <w:r>
              <w:t>c... hoặc các tội bạo lực khác.</w:t>
            </w:r>
            <w:r>
              <w:rPr>
                <w:rStyle w:val="FootnoteReference"/>
              </w:rPr>
              <w:footnoteReference w:id="6"/>
            </w:r>
          </w:p>
        </w:tc>
      </w:tr>
      <w:tr w:rsidR="00EC2972" w14:paraId="69C93FB7" w14:textId="77777777" w:rsidTr="007474B8">
        <w:tc>
          <w:tcPr>
            <w:tcW w:w="1555" w:type="dxa"/>
          </w:tcPr>
          <w:p w14:paraId="5408C72A" w14:textId="29B57E8A" w:rsidR="00EC2972" w:rsidRDefault="00EC2972" w:rsidP="00A03FCB">
            <w:pPr>
              <w:spacing w:line="360" w:lineRule="auto"/>
              <w:ind w:firstLine="0"/>
            </w:pPr>
            <w:r>
              <w:t>Thời gian thử thách</w:t>
            </w:r>
          </w:p>
        </w:tc>
        <w:tc>
          <w:tcPr>
            <w:tcW w:w="3685" w:type="dxa"/>
          </w:tcPr>
          <w:p w14:paraId="6FCD665B" w14:textId="78A25C08" w:rsidR="00EC2972" w:rsidRDefault="00A03FCB" w:rsidP="00A03FCB">
            <w:pPr>
              <w:spacing w:line="360" w:lineRule="auto"/>
              <w:ind w:firstLine="0"/>
            </w:pPr>
            <w:r>
              <w:t>- Thời gian thử thách bằng thời gian còn lại của hình phạt tù.</w:t>
            </w:r>
          </w:p>
        </w:tc>
        <w:tc>
          <w:tcPr>
            <w:tcW w:w="3815" w:type="dxa"/>
          </w:tcPr>
          <w:p w14:paraId="4D5FAF72" w14:textId="77777777" w:rsidR="00A03FCB" w:rsidRDefault="00A03FCB" w:rsidP="00A03FCB">
            <w:pPr>
              <w:spacing w:line="360" w:lineRule="auto"/>
              <w:ind w:firstLine="0"/>
            </w:pPr>
            <w:r>
              <w:t>- Thời gian thử thách đối với tạm tha trong trường hợp phạt tù có thời hạn sẽ bằng với phần thời gian còn lại của hình phạt chưa chấp hành;</w:t>
            </w:r>
          </w:p>
          <w:p w14:paraId="35DC9191" w14:textId="5A651910" w:rsidR="00EC2972" w:rsidRPr="00EC2972" w:rsidRDefault="00A03FCB" w:rsidP="00A03FCB">
            <w:pPr>
              <w:spacing w:line="360" w:lineRule="auto"/>
              <w:ind w:firstLine="0"/>
            </w:pPr>
            <w:r>
              <w:t>- Thời gian thử thách đối với tha tù trước thời hạn trong trường hợp tù chung thân là 10 năm.</w:t>
            </w:r>
            <w:r>
              <w:rPr>
                <w:rStyle w:val="FootnoteReference"/>
              </w:rPr>
              <w:footnoteReference w:id="7"/>
            </w:r>
          </w:p>
        </w:tc>
      </w:tr>
      <w:tr w:rsidR="00EC2972" w14:paraId="02A48B61" w14:textId="77777777" w:rsidTr="007474B8">
        <w:tc>
          <w:tcPr>
            <w:tcW w:w="1555" w:type="dxa"/>
          </w:tcPr>
          <w:p w14:paraId="2A6AB69C" w14:textId="7795C2F6" w:rsidR="00EC2972" w:rsidRDefault="00A03FCB" w:rsidP="00A03FCB">
            <w:pPr>
              <w:spacing w:line="360" w:lineRule="auto"/>
              <w:ind w:firstLine="0"/>
              <w:jc w:val="left"/>
            </w:pPr>
            <w:r>
              <w:t>Các trường hợp bị hủy bỏ quyết định tha tù trước thời hạn</w:t>
            </w:r>
          </w:p>
        </w:tc>
        <w:tc>
          <w:tcPr>
            <w:tcW w:w="3685" w:type="dxa"/>
          </w:tcPr>
          <w:p w14:paraId="39A85696" w14:textId="77777777" w:rsidR="00A03FCB" w:rsidRDefault="00A03FCB" w:rsidP="00A03FCB">
            <w:pPr>
              <w:spacing w:line="360" w:lineRule="auto"/>
              <w:ind w:firstLine="0"/>
            </w:pPr>
            <w:r>
              <w:t>- Vi phạm nghĩa vụ 02 lần trở lên hoặc bị xử phạt vi phạm hành chính 02 lần trở lên trong thời gian thử thách;</w:t>
            </w:r>
          </w:p>
          <w:p w14:paraId="5AEC4674" w14:textId="0A0E818D" w:rsidR="00EC2972" w:rsidRDefault="00A03FCB" w:rsidP="00A03FCB">
            <w:pPr>
              <w:spacing w:line="360" w:lineRule="auto"/>
              <w:ind w:firstLine="0"/>
            </w:pPr>
            <w:r>
              <w:t>- Phạm tội mới trong thời gian thử thách.</w:t>
            </w:r>
          </w:p>
        </w:tc>
        <w:tc>
          <w:tcPr>
            <w:tcW w:w="3815" w:type="dxa"/>
          </w:tcPr>
          <w:p w14:paraId="346D4B9C" w14:textId="77777777" w:rsidR="00A03FCB" w:rsidRDefault="00A03FCB" w:rsidP="00A03FCB">
            <w:pPr>
              <w:spacing w:line="360" w:lineRule="auto"/>
              <w:ind w:firstLine="0"/>
            </w:pPr>
            <w:r>
              <w:t>- Phạm tội mới trong thời gian thử thách;</w:t>
            </w:r>
          </w:p>
          <w:p w14:paraId="5FFA7829" w14:textId="77777777" w:rsidR="00A03FCB" w:rsidRDefault="00A03FCB" w:rsidP="00A03FCB">
            <w:pPr>
              <w:spacing w:line="360" w:lineRule="auto"/>
              <w:ind w:firstLine="0"/>
            </w:pPr>
            <w:r>
              <w:t>- Bị phát hiện đã phạm các tội khác trước khi bản án được tuyên mà chưa bị xử phạt;</w:t>
            </w:r>
          </w:p>
          <w:p w14:paraId="3557C16F" w14:textId="05461302" w:rsidR="00EC2972" w:rsidRPr="00EC2972" w:rsidRDefault="00A03FCB" w:rsidP="00A03FCB">
            <w:pPr>
              <w:spacing w:line="360" w:lineRule="auto"/>
              <w:ind w:firstLine="0"/>
            </w:pPr>
            <w:r>
              <w:t xml:space="preserve">- Trong thời gian thử thách vi phạm pháp luật, các quy định </w:t>
            </w:r>
            <w:r>
              <w:lastRenderedPageBreak/>
              <w:t>hành chính hoặc các quy định khác liên quan đến giám sát và quản lý tha tù do Bộ Công an ban hành nhưng hành vi vi phạm đó không cấu thành tội phạm mới.</w:t>
            </w:r>
            <w:r>
              <w:rPr>
                <w:rStyle w:val="FootnoteReference"/>
              </w:rPr>
              <w:footnoteReference w:id="8"/>
            </w:r>
          </w:p>
        </w:tc>
      </w:tr>
    </w:tbl>
    <w:p w14:paraId="5C87FAC6" w14:textId="77777777" w:rsidR="007474B8" w:rsidRDefault="007474B8" w:rsidP="00A03FCB">
      <w:pPr>
        <w:ind w:firstLine="0"/>
      </w:pPr>
    </w:p>
    <w:p w14:paraId="4ABFF70E" w14:textId="73FDC4EE" w:rsidR="007474B8" w:rsidRDefault="00A03FCB" w:rsidP="00A03FCB">
      <w:pPr>
        <w:pStyle w:val="Heading2"/>
      </w:pPr>
      <w:bookmarkStart w:id="4" w:name="_Toc215747896"/>
      <w:r>
        <w:t>3</w:t>
      </w:r>
      <w:r w:rsidR="007474B8">
        <w:t>. Kinh nghiệm cho Việt Nam</w:t>
      </w:r>
      <w:bookmarkEnd w:id="4"/>
    </w:p>
    <w:p w14:paraId="4175BE09" w14:textId="77777777" w:rsidR="007474B8" w:rsidRDefault="007474B8" w:rsidP="00A03FCB">
      <w:r>
        <w:t>Dựa trên kết quả so sánh nội dung chế định về tha tù trước thời hạn có điều kiện giữa Bộ luật Hình sự Việt Nam và Bộ luật Hình sự Trung Quốc, có thể rút ra kinh nghiệm cho Việt Nam trong việc hoàn thiện chế định này như sau:</w:t>
      </w:r>
    </w:p>
    <w:p w14:paraId="5D0832F7" w14:textId="6B58EC34" w:rsidR="007474B8" w:rsidRDefault="00A03FCB" w:rsidP="00A03FCB">
      <w:pPr>
        <w:pStyle w:val="Heading3"/>
      </w:pPr>
      <w:bookmarkStart w:id="5" w:name="_Toc215747897"/>
      <w:r>
        <w:t>3.1</w:t>
      </w:r>
      <w:r w:rsidR="007474B8">
        <w:t>. Hoàn thiện tiêu chí đánh giá “cải tạo tiến bộ”</w:t>
      </w:r>
      <w:bookmarkEnd w:id="5"/>
    </w:p>
    <w:p w14:paraId="1E980373" w14:textId="77777777" w:rsidR="007474B8" w:rsidRDefault="007474B8" w:rsidP="00A03FCB">
      <w:r>
        <w:t>+ Hiện Việt Nam chỉ yêu cầu “có nhiều tiến bộ, ý thức cải tạo tốt” là tiêu chí mang tính định tính, dễ dẫn tới áp dụng tùy nghi, chưa có cơ sở đánh giá cụ thể, và khó kiểm chứng.</w:t>
      </w:r>
    </w:p>
    <w:p w14:paraId="48C924D3" w14:textId="77777777" w:rsidR="007474B8" w:rsidRDefault="007474B8" w:rsidP="00A03FCB">
      <w:r>
        <w:t>+ Kinh nghiệm từ Trung Quốc: Áp dụng hệ thống chấm điểm (lao động, học tập, khen thưởng, kỷ luật), tạo hồ sơ điểm số làm căn cứ cho Tòa án xem xét.</w:t>
      </w:r>
    </w:p>
    <w:p w14:paraId="5160B3C3" w14:textId="1D1236A5" w:rsidR="007474B8" w:rsidRDefault="007474B8" w:rsidP="00A03FCB">
      <w:r>
        <w:t>+ Đề xuất cho Việt Nam: Xây dựng quy định theo hướng định lượng rõ ràng làm cơ sở đánh giá “cải tạo tiến bộ” và ban hành nghị quy</w:t>
      </w:r>
      <w:r w:rsidR="00A03FCB">
        <w:t xml:space="preserve">ết hướng dẫn cụ thể. Tòa án khi </w:t>
      </w:r>
      <w:r>
        <w:t>ra quyết định phải căn cứ vào bảng điểm và nhận xét định lượng, không chỉ vào đánh giá chủ quan.</w:t>
      </w:r>
    </w:p>
    <w:p w14:paraId="05DD181C" w14:textId="532D4B03" w:rsidR="007474B8" w:rsidRDefault="00A03FCB" w:rsidP="00A03FCB">
      <w:pPr>
        <w:pStyle w:val="Heading3"/>
      </w:pPr>
      <w:bookmarkStart w:id="6" w:name="_Toc215747898"/>
      <w:r>
        <w:t>3.2</w:t>
      </w:r>
      <w:r w:rsidR="007474B8">
        <w:t>. Tăng cường tính linh hoạt trong điều kiện thời gian chấp hành</w:t>
      </w:r>
      <w:bookmarkEnd w:id="6"/>
    </w:p>
    <w:p w14:paraId="0DF29C9A" w14:textId="77777777" w:rsidR="007474B8" w:rsidRDefault="007474B8" w:rsidP="00A03FCB">
      <w:r>
        <w:t>+ Việt Nam đang quy định chấp hành tối thiểu (một nửa án, hoặc 15 năm với chung thân giảm xuống) mang tính cứng nhắc, chưa bao quát đến trường hợp người chấp hành án có quá trình cải tạo đặc biệt tốt hoặc lập công lớn trong thời gian chấp hành.</w:t>
      </w:r>
    </w:p>
    <w:p w14:paraId="2F6E7CCA" w14:textId="77777777" w:rsidR="007474B8" w:rsidRDefault="007474B8" w:rsidP="00A03FCB">
      <w:r>
        <w:lastRenderedPageBreak/>
        <w:t>+ Kinh nghiệm từ Trung Quốc: Tòa án Nhân dân Tối cao có thể cho phép tạm tha sớm trong trường hợp đặc biệt, như khi phạm nhân lập công lớn hoặc hỗ trợ điều tra quan trọng.</w:t>
      </w:r>
    </w:p>
    <w:p w14:paraId="3CB617BE" w14:textId="77777777" w:rsidR="007474B8" w:rsidRDefault="007474B8" w:rsidP="00A03FCB">
      <w:r>
        <w:t>+ Đề xuất cho Việt Nam: Bổ sung cơ chế cho phép Tòa án có thẩm quyền quyết định việc tha tù trước hạn trong các trường hợp đặc biệt trong Bộ luật Hình sự. Quy định rõ các tiêu chí áp dụng tha thù trước thời hạn “trong trường hợp đặc biệt”.</w:t>
      </w:r>
    </w:p>
    <w:p w14:paraId="30B99D01" w14:textId="01B2C4A7" w:rsidR="007474B8" w:rsidRDefault="00A03FCB" w:rsidP="00A03FCB">
      <w:pPr>
        <w:pStyle w:val="Heading3"/>
      </w:pPr>
      <w:bookmarkStart w:id="7" w:name="_Toc215747899"/>
      <w:r>
        <w:t>3.3</w:t>
      </w:r>
      <w:r w:rsidR="007474B8">
        <w:t>. Hoàn thiện cơ chế giám sát trong thời gian thử thách</w:t>
      </w:r>
      <w:bookmarkEnd w:id="7"/>
    </w:p>
    <w:p w14:paraId="5BC9060E" w14:textId="77777777" w:rsidR="007474B8" w:rsidRDefault="007474B8" w:rsidP="00A03FCB">
      <w:r>
        <w:t>+ Quy định pháp luật về nghĩa vụ của người chấp hành án trong thời gian thử thách, cách thức giám sát chưa đủ chi tiết và nguồn lực thực thi còn hạn chế. Hiện nay, Việt Nam chỉ giao cho Ủy ban nhân dân cấp xã quản lý. Tuy nhiên, đây là cơ quan quản lý hành chính nhà nước ở địa phương, không có chuyên môn trong việc quản lý, giám sát người chấp hành án.</w:t>
      </w:r>
    </w:p>
    <w:p w14:paraId="49FA26FE" w14:textId="77777777" w:rsidR="007474B8" w:rsidRDefault="007474B8" w:rsidP="00A03FCB">
      <w:r>
        <w:t>+ Kinh nghiệm từ Trung Quốc: Quy định rõ trách nhiệm của Bộ công an (cơ quan chuyên môn), các chế tài khi vi phạm nghĩa vụ (kể cả vi phạm hành chính).</w:t>
      </w:r>
    </w:p>
    <w:p w14:paraId="1CB6CB4C" w14:textId="77777777" w:rsidR="007474B8" w:rsidRDefault="007474B8" w:rsidP="00A03FCB">
      <w:r>
        <w:t>+ Đề xuất cho Việt Nam: Xây dựng cơ chế phối hợp giữa Công an, chính quyền địa phương và tổ chức xã hội, bảo đảm tính khả thi và phòng ngừa tái phạm. Ban hành văn bản hướng dẫn cụ thể về nghĩa vụ định kỳ báo cáo, lao động cộng đồng hoặc tham gia chương trình phục hồi.</w:t>
      </w:r>
    </w:p>
    <w:p w14:paraId="35C978F3" w14:textId="77777777" w:rsidR="00A03FCB" w:rsidRDefault="00A03FCB" w:rsidP="00A03FCB">
      <w:r>
        <w:br w:type="page"/>
      </w:r>
    </w:p>
    <w:p w14:paraId="2BA1E11A" w14:textId="3A039074" w:rsidR="007474B8" w:rsidRDefault="00A03FCB" w:rsidP="00A03FCB">
      <w:pPr>
        <w:pStyle w:val="Heading1"/>
      </w:pPr>
      <w:bookmarkStart w:id="8" w:name="_Toc215747900"/>
      <w:r>
        <w:lastRenderedPageBreak/>
        <w:t>KẾT LUẬN</w:t>
      </w:r>
      <w:bookmarkEnd w:id="8"/>
    </w:p>
    <w:p w14:paraId="71B30720" w14:textId="008BA7D7" w:rsidR="000D23C3" w:rsidRDefault="007474B8" w:rsidP="00A03FCB">
      <w:r>
        <w:t>Chế định tha tù trước thời hạn trong Bộ luật Hình sự Việt Nam và Trung Quốc thể hiện những điểm tương đồng nổi bật xuất phát từ sự chia sẻ các nguyên tắc lập pháp tiến bộ và tinh thần nhân đạo trong tư pháp hình sự. Cả hai hệ thống pháp luật đều xác định đ</w:t>
      </w:r>
      <w:r>
        <w:rPr>
          <w:rFonts w:hint="eastAsia"/>
        </w:rPr>
        <w:t>â</w:t>
      </w:r>
      <w:r>
        <w:t>y là chính sách quan trọng nhằm khuyến khích phạm nhân cải tạo tích cực, tạo cơ hội tái hòa nhập cộng đồng, đồng thời giảm áp lực cho hệ thống trại giam. Về điều kiện áp dụng, cả hai bộ luật đều xây dựng các tiêu chí toàn diện và chặt chẽ, tập trung vào ba nhóm chính: mức độ cải tạo thể hiện qua việc chấp hành nội quy và thái độ tích cực lao động, học tập; điều kiện về thời gian chấp hành án tù đã qua; và đánh giá khả năng người phạm tội sẽ sống lương thiện sau khi được tha. Đặc biệt, cả hai hệ thống đều coi đây là sự khoan hồng có điều kiện của Nhà nước chứ không phải quyền đương nhiên, được xem xét cá thể hóa cho từng trường hợp. Những tương đồng này không chỉ phản ánh xu hướng chung của tư pháp hình sự hiện đại mà còn tạo cơ sở cho việc trao đổi kinh nghiệm lập pháp giữa hai nước, góp phần hoàn thiện hơn nữa chế định quan trọng này trong thực tiễn áp dụng</w:t>
      </w:r>
      <w:r w:rsidR="000E6BF2">
        <w:t>.</w:t>
      </w:r>
    </w:p>
    <w:sectPr w:rsidR="000D23C3">
      <w:pgSz w:w="11900" w:h="16840"/>
      <w:pgMar w:top="1134" w:right="1134" w:bottom="1134" w:left="1701" w:header="850" w:footer="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2198D" w14:textId="77777777" w:rsidR="00A85AE7" w:rsidRDefault="00A85AE7">
      <w:pPr>
        <w:spacing w:line="240" w:lineRule="auto"/>
      </w:pPr>
      <w:r>
        <w:separator/>
      </w:r>
    </w:p>
  </w:endnote>
  <w:endnote w:type="continuationSeparator" w:id="0">
    <w:p w14:paraId="0132F9ED" w14:textId="77777777" w:rsidR="00A85AE7" w:rsidRDefault="00A85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87810" w14:textId="77777777" w:rsidR="00A85AE7" w:rsidRDefault="00A85AE7">
      <w:pPr>
        <w:spacing w:line="240" w:lineRule="auto"/>
      </w:pPr>
      <w:r>
        <w:separator/>
      </w:r>
    </w:p>
  </w:footnote>
  <w:footnote w:type="continuationSeparator" w:id="0">
    <w:p w14:paraId="1BD290C6" w14:textId="77777777" w:rsidR="00A85AE7" w:rsidRDefault="00A85AE7">
      <w:pPr>
        <w:spacing w:line="240" w:lineRule="auto"/>
      </w:pPr>
      <w:r>
        <w:continuationSeparator/>
      </w:r>
    </w:p>
  </w:footnote>
  <w:footnote w:id="1">
    <w:p w14:paraId="2369B061" w14:textId="19EE9F69" w:rsidR="007474B8" w:rsidRDefault="007474B8">
      <w:pPr>
        <w:pStyle w:val="FootnoteText"/>
      </w:pPr>
      <w:r>
        <w:rPr>
          <w:rStyle w:val="FootnoteReference"/>
        </w:rPr>
        <w:footnoteRef/>
      </w:r>
      <w:r>
        <w:t xml:space="preserve"> </w:t>
      </w:r>
      <w:r w:rsidRPr="007474B8">
        <w:t>Zhiyuan  Guo,  Rong  Ma,  Life  Imprisonment  in  China:  Law  and  Practice,  link  truy  cập: https://law.unimelb.edu.au/ data/assets/pdf_file/0009/3921561/Guo_Zhiyuan.pdf.</w:t>
      </w:r>
    </w:p>
  </w:footnote>
  <w:footnote w:id="2">
    <w:p w14:paraId="0968F73C" w14:textId="604A36A4" w:rsidR="007474B8" w:rsidRDefault="007474B8">
      <w:pPr>
        <w:pStyle w:val="FootnoteText"/>
      </w:pPr>
      <w:r>
        <w:rPr>
          <w:rStyle w:val="FootnoteReference"/>
        </w:rPr>
        <w:footnoteRef/>
      </w:r>
      <w:r>
        <w:t xml:space="preserve"> Khoản 3 Điều 66 Bộ luật Hình sự Việt Nam.</w:t>
      </w:r>
    </w:p>
  </w:footnote>
  <w:footnote w:id="3">
    <w:p w14:paraId="52200972" w14:textId="012AA852" w:rsidR="007474B8" w:rsidRDefault="007474B8">
      <w:pPr>
        <w:pStyle w:val="FootnoteText"/>
      </w:pPr>
      <w:r>
        <w:rPr>
          <w:rStyle w:val="FootnoteReference"/>
        </w:rPr>
        <w:footnoteRef/>
      </w:r>
      <w:r>
        <w:t xml:space="preserve"> Khoản 4 Điều 66 Bộ luật Hình sự Việt Nam.</w:t>
      </w:r>
    </w:p>
  </w:footnote>
  <w:footnote w:id="4">
    <w:p w14:paraId="3354FD2F" w14:textId="305EB6A1" w:rsidR="007474B8" w:rsidRDefault="007474B8">
      <w:pPr>
        <w:pStyle w:val="FootnoteText"/>
      </w:pPr>
      <w:r>
        <w:rPr>
          <w:rStyle w:val="FootnoteReference"/>
        </w:rPr>
        <w:footnoteRef/>
      </w:r>
      <w:r>
        <w:t xml:space="preserve"> Điều 66 Bộ luật Hình sự Việt Nam.</w:t>
      </w:r>
    </w:p>
  </w:footnote>
  <w:footnote w:id="5">
    <w:p w14:paraId="53D05714" w14:textId="2D61AD67" w:rsidR="00EC2972" w:rsidRDefault="00EC2972">
      <w:pPr>
        <w:pStyle w:val="FootnoteText"/>
      </w:pPr>
      <w:r>
        <w:rPr>
          <w:rStyle w:val="FootnoteReference"/>
        </w:rPr>
        <w:footnoteRef/>
      </w:r>
      <w:r>
        <w:t xml:space="preserve"> Điều</w:t>
      </w:r>
      <w:r>
        <w:rPr>
          <w:spacing w:val="-4"/>
        </w:rPr>
        <w:t xml:space="preserve"> </w:t>
      </w:r>
      <w:r>
        <w:t>81</w:t>
      </w:r>
      <w:r>
        <w:rPr>
          <w:spacing w:val="-2"/>
        </w:rPr>
        <w:t xml:space="preserve"> </w:t>
      </w:r>
      <w:r>
        <w:t>Bộ</w:t>
      </w:r>
      <w:r>
        <w:rPr>
          <w:spacing w:val="-2"/>
        </w:rPr>
        <w:t xml:space="preserve"> </w:t>
      </w:r>
      <w:r>
        <w:t>luật</w:t>
      </w:r>
      <w:r>
        <w:rPr>
          <w:spacing w:val="-5"/>
        </w:rPr>
        <w:t xml:space="preserve"> </w:t>
      </w:r>
      <w:r>
        <w:t>Hình</w:t>
      </w:r>
      <w:r>
        <w:rPr>
          <w:spacing w:val="-2"/>
        </w:rPr>
        <w:t xml:space="preserve"> </w:t>
      </w:r>
      <w:r>
        <w:t>sự</w:t>
      </w:r>
      <w:r>
        <w:rPr>
          <w:spacing w:val="-3"/>
        </w:rPr>
        <w:t xml:space="preserve"> </w:t>
      </w:r>
      <w:r>
        <w:t>Trung</w:t>
      </w:r>
      <w:r>
        <w:rPr>
          <w:spacing w:val="-4"/>
        </w:rPr>
        <w:t xml:space="preserve"> Hoa.</w:t>
      </w:r>
    </w:p>
  </w:footnote>
  <w:footnote w:id="6">
    <w:p w14:paraId="75037AA4" w14:textId="1746038A" w:rsidR="00EC2972" w:rsidRDefault="00EC2972">
      <w:pPr>
        <w:pStyle w:val="FootnoteText"/>
      </w:pPr>
      <w:r>
        <w:rPr>
          <w:rStyle w:val="FootnoteReference"/>
        </w:rPr>
        <w:footnoteRef/>
      </w:r>
      <w:r>
        <w:t xml:space="preserve"> Điều</w:t>
      </w:r>
      <w:r>
        <w:rPr>
          <w:spacing w:val="-4"/>
        </w:rPr>
        <w:t xml:space="preserve"> </w:t>
      </w:r>
      <w:r>
        <w:t>81</w:t>
      </w:r>
      <w:r>
        <w:rPr>
          <w:spacing w:val="-2"/>
        </w:rPr>
        <w:t xml:space="preserve"> </w:t>
      </w:r>
      <w:r>
        <w:t>Bộ</w:t>
      </w:r>
      <w:r>
        <w:rPr>
          <w:spacing w:val="-2"/>
        </w:rPr>
        <w:t xml:space="preserve"> </w:t>
      </w:r>
      <w:r>
        <w:t>luật</w:t>
      </w:r>
      <w:r>
        <w:rPr>
          <w:spacing w:val="-5"/>
        </w:rPr>
        <w:t xml:space="preserve"> </w:t>
      </w:r>
      <w:r>
        <w:t>Hình</w:t>
      </w:r>
      <w:r>
        <w:rPr>
          <w:spacing w:val="-2"/>
        </w:rPr>
        <w:t xml:space="preserve"> </w:t>
      </w:r>
      <w:r>
        <w:t>sự</w:t>
      </w:r>
      <w:r>
        <w:rPr>
          <w:spacing w:val="-3"/>
        </w:rPr>
        <w:t xml:space="preserve"> </w:t>
      </w:r>
      <w:r>
        <w:t>Trung</w:t>
      </w:r>
      <w:r>
        <w:rPr>
          <w:spacing w:val="-4"/>
        </w:rPr>
        <w:t xml:space="preserve"> Hoa.</w:t>
      </w:r>
    </w:p>
  </w:footnote>
  <w:footnote w:id="7">
    <w:p w14:paraId="737F583F" w14:textId="2E4CB55B" w:rsidR="00A03FCB" w:rsidRDefault="00A03FCB">
      <w:pPr>
        <w:pStyle w:val="FootnoteText"/>
      </w:pPr>
      <w:r>
        <w:rPr>
          <w:rStyle w:val="FootnoteReference"/>
        </w:rPr>
        <w:footnoteRef/>
      </w:r>
      <w:r>
        <w:t xml:space="preserve"> Điều 83 Bộ luật Hình sự Trung Hoa.</w:t>
      </w:r>
    </w:p>
  </w:footnote>
  <w:footnote w:id="8">
    <w:p w14:paraId="6C53F30A" w14:textId="50F414F2" w:rsidR="00A03FCB" w:rsidRDefault="00A03FCB">
      <w:pPr>
        <w:pStyle w:val="FootnoteText"/>
      </w:pPr>
      <w:r>
        <w:rPr>
          <w:rStyle w:val="FootnoteReference"/>
        </w:rPr>
        <w:footnoteRef/>
      </w:r>
      <w:r>
        <w:t xml:space="preserve"> Điều 86 Bộ luật Hình sự Trung Hoa.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FF90" w14:textId="2118F186" w:rsidR="00252566"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r>
      <w:rPr>
        <w:color w:val="000000"/>
      </w:rPr>
      <w:fldChar w:fldCharType="begin"/>
    </w:r>
    <w:r>
      <w:rPr>
        <w:color w:val="000000"/>
      </w:rPr>
      <w:instrText>PAGE</w:instrText>
    </w:r>
    <w:r>
      <w:rPr>
        <w:color w:val="000000"/>
      </w:rPr>
      <w:fldChar w:fldCharType="separate"/>
    </w:r>
    <w:r w:rsidR="009914AA">
      <w:rPr>
        <w:noProof/>
        <w:color w:val="000000"/>
      </w:rPr>
      <w:t>9</w:t>
    </w:r>
    <w:r>
      <w:rPr>
        <w:color w:val="000000"/>
      </w:rPr>
      <w:fldChar w:fldCharType="end"/>
    </w:r>
  </w:p>
  <w:p w14:paraId="5C53ADEF" w14:textId="6A71C05F" w:rsidR="00252566" w:rsidRPr="00690E0D"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25D"/>
    <w:multiLevelType w:val="hybridMultilevel"/>
    <w:tmpl w:val="CCA8E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121DA"/>
    <w:multiLevelType w:val="hybridMultilevel"/>
    <w:tmpl w:val="B8146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65BE9"/>
    <w:multiLevelType w:val="hybridMultilevel"/>
    <w:tmpl w:val="750E2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96756"/>
    <w:multiLevelType w:val="multilevel"/>
    <w:tmpl w:val="4FC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03F3B"/>
    <w:multiLevelType w:val="hybridMultilevel"/>
    <w:tmpl w:val="E4B22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E586C"/>
    <w:multiLevelType w:val="multilevel"/>
    <w:tmpl w:val="C3D6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72C66"/>
    <w:multiLevelType w:val="hybridMultilevel"/>
    <w:tmpl w:val="ECBEB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C72CE"/>
    <w:multiLevelType w:val="multilevel"/>
    <w:tmpl w:val="27B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06419"/>
    <w:multiLevelType w:val="hybridMultilevel"/>
    <w:tmpl w:val="9F8EA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027682"/>
    <w:multiLevelType w:val="hybridMultilevel"/>
    <w:tmpl w:val="5380D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2317BD"/>
    <w:multiLevelType w:val="multilevel"/>
    <w:tmpl w:val="C0A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D658C"/>
    <w:multiLevelType w:val="multilevel"/>
    <w:tmpl w:val="DCE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D2562A"/>
    <w:multiLevelType w:val="hybridMultilevel"/>
    <w:tmpl w:val="B7968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59295F"/>
    <w:multiLevelType w:val="hybridMultilevel"/>
    <w:tmpl w:val="C7686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D3673F"/>
    <w:multiLevelType w:val="multilevel"/>
    <w:tmpl w:val="2F10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B655F3"/>
    <w:multiLevelType w:val="multilevel"/>
    <w:tmpl w:val="193A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7501F"/>
    <w:multiLevelType w:val="hybridMultilevel"/>
    <w:tmpl w:val="166A2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010129"/>
    <w:multiLevelType w:val="hybridMultilevel"/>
    <w:tmpl w:val="79402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0F7921"/>
    <w:multiLevelType w:val="hybridMultilevel"/>
    <w:tmpl w:val="7B364D0C"/>
    <w:lvl w:ilvl="0" w:tplc="5E94BF8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111CA"/>
    <w:multiLevelType w:val="hybridMultilevel"/>
    <w:tmpl w:val="452AE514"/>
    <w:lvl w:ilvl="0" w:tplc="CF0EEF12">
      <w:start w:val="1"/>
      <w:numFmt w:val="bullet"/>
      <w:lvlText w:val="-"/>
      <w:lvlJc w:val="left"/>
      <w:pPr>
        <w:ind w:left="720" w:hanging="360"/>
      </w:pPr>
      <w:rPr>
        <w:rFonts w:ascii="Calibri" w:eastAsia="Times New Roman"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7"/>
  </w:num>
  <w:num w:numId="5">
    <w:abstractNumId w:val="15"/>
  </w:num>
  <w:num w:numId="6">
    <w:abstractNumId w:val="10"/>
  </w:num>
  <w:num w:numId="7">
    <w:abstractNumId w:val="5"/>
  </w:num>
  <w:num w:numId="8">
    <w:abstractNumId w:val="2"/>
  </w:num>
  <w:num w:numId="9">
    <w:abstractNumId w:val="0"/>
  </w:num>
  <w:num w:numId="10">
    <w:abstractNumId w:val="4"/>
  </w:num>
  <w:num w:numId="11">
    <w:abstractNumId w:val="8"/>
  </w:num>
  <w:num w:numId="12">
    <w:abstractNumId w:val="6"/>
  </w:num>
  <w:num w:numId="13">
    <w:abstractNumId w:val="13"/>
  </w:num>
  <w:num w:numId="14">
    <w:abstractNumId w:val="9"/>
  </w:num>
  <w:num w:numId="15">
    <w:abstractNumId w:val="18"/>
  </w:num>
  <w:num w:numId="16">
    <w:abstractNumId w:val="19"/>
  </w:num>
  <w:num w:numId="17">
    <w:abstractNumId w:val="16"/>
  </w:num>
  <w:num w:numId="18">
    <w:abstractNumId w:val="1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69"/>
    <w:rsid w:val="00000430"/>
    <w:rsid w:val="00000FFD"/>
    <w:rsid w:val="00001276"/>
    <w:rsid w:val="000013B1"/>
    <w:rsid w:val="00001BA0"/>
    <w:rsid w:val="00001CE6"/>
    <w:rsid w:val="00002D56"/>
    <w:rsid w:val="00002FAE"/>
    <w:rsid w:val="00004577"/>
    <w:rsid w:val="000046A6"/>
    <w:rsid w:val="00005B22"/>
    <w:rsid w:val="00006B63"/>
    <w:rsid w:val="00007BC5"/>
    <w:rsid w:val="0001059F"/>
    <w:rsid w:val="0001222F"/>
    <w:rsid w:val="0001265D"/>
    <w:rsid w:val="00012EFE"/>
    <w:rsid w:val="0001346D"/>
    <w:rsid w:val="000135A4"/>
    <w:rsid w:val="00013A0D"/>
    <w:rsid w:val="00014356"/>
    <w:rsid w:val="000146AD"/>
    <w:rsid w:val="00014F80"/>
    <w:rsid w:val="000156E3"/>
    <w:rsid w:val="00016665"/>
    <w:rsid w:val="000173A0"/>
    <w:rsid w:val="00020098"/>
    <w:rsid w:val="000221AE"/>
    <w:rsid w:val="000224F9"/>
    <w:rsid w:val="00023BF1"/>
    <w:rsid w:val="00023F8A"/>
    <w:rsid w:val="0002483F"/>
    <w:rsid w:val="000254CE"/>
    <w:rsid w:val="0002577B"/>
    <w:rsid w:val="00027761"/>
    <w:rsid w:val="000277DA"/>
    <w:rsid w:val="00027BDD"/>
    <w:rsid w:val="00027CFD"/>
    <w:rsid w:val="000317BD"/>
    <w:rsid w:val="00031F33"/>
    <w:rsid w:val="0003463C"/>
    <w:rsid w:val="00034A0E"/>
    <w:rsid w:val="000365EA"/>
    <w:rsid w:val="0004022F"/>
    <w:rsid w:val="00041E9E"/>
    <w:rsid w:val="0004384F"/>
    <w:rsid w:val="00043F52"/>
    <w:rsid w:val="0004456B"/>
    <w:rsid w:val="00044654"/>
    <w:rsid w:val="0004682D"/>
    <w:rsid w:val="00047D92"/>
    <w:rsid w:val="00047E60"/>
    <w:rsid w:val="00052ECF"/>
    <w:rsid w:val="00053277"/>
    <w:rsid w:val="000532F7"/>
    <w:rsid w:val="0005346B"/>
    <w:rsid w:val="00053A62"/>
    <w:rsid w:val="00054579"/>
    <w:rsid w:val="000549DB"/>
    <w:rsid w:val="00054A1B"/>
    <w:rsid w:val="000561C2"/>
    <w:rsid w:val="00056638"/>
    <w:rsid w:val="000603D0"/>
    <w:rsid w:val="00060E8D"/>
    <w:rsid w:val="00060F53"/>
    <w:rsid w:val="00061878"/>
    <w:rsid w:val="00061CD6"/>
    <w:rsid w:val="0006223F"/>
    <w:rsid w:val="0006276E"/>
    <w:rsid w:val="00062A9D"/>
    <w:rsid w:val="00063F4A"/>
    <w:rsid w:val="000648C8"/>
    <w:rsid w:val="00065011"/>
    <w:rsid w:val="00065ADF"/>
    <w:rsid w:val="00066A04"/>
    <w:rsid w:val="000671B4"/>
    <w:rsid w:val="0006775D"/>
    <w:rsid w:val="00067B5C"/>
    <w:rsid w:val="0007046E"/>
    <w:rsid w:val="00070884"/>
    <w:rsid w:val="00071210"/>
    <w:rsid w:val="000717BC"/>
    <w:rsid w:val="000719FC"/>
    <w:rsid w:val="00072BFA"/>
    <w:rsid w:val="00072C0A"/>
    <w:rsid w:val="00073D51"/>
    <w:rsid w:val="00074D0B"/>
    <w:rsid w:val="0007647B"/>
    <w:rsid w:val="00076AEE"/>
    <w:rsid w:val="00076CA3"/>
    <w:rsid w:val="00076D6D"/>
    <w:rsid w:val="0007712A"/>
    <w:rsid w:val="000774B7"/>
    <w:rsid w:val="00077AEF"/>
    <w:rsid w:val="000800A3"/>
    <w:rsid w:val="0008077F"/>
    <w:rsid w:val="000820CB"/>
    <w:rsid w:val="000840D3"/>
    <w:rsid w:val="0008451C"/>
    <w:rsid w:val="00084B8D"/>
    <w:rsid w:val="0008568F"/>
    <w:rsid w:val="00085ACF"/>
    <w:rsid w:val="00086FB0"/>
    <w:rsid w:val="0009041D"/>
    <w:rsid w:val="00091046"/>
    <w:rsid w:val="00091685"/>
    <w:rsid w:val="00092615"/>
    <w:rsid w:val="0009266A"/>
    <w:rsid w:val="00094358"/>
    <w:rsid w:val="00094651"/>
    <w:rsid w:val="00095167"/>
    <w:rsid w:val="0009582E"/>
    <w:rsid w:val="0009636F"/>
    <w:rsid w:val="00097D16"/>
    <w:rsid w:val="000A025D"/>
    <w:rsid w:val="000A24E5"/>
    <w:rsid w:val="000A335F"/>
    <w:rsid w:val="000A3B17"/>
    <w:rsid w:val="000A5E5B"/>
    <w:rsid w:val="000A750A"/>
    <w:rsid w:val="000A77E5"/>
    <w:rsid w:val="000B1472"/>
    <w:rsid w:val="000B167A"/>
    <w:rsid w:val="000B1BB0"/>
    <w:rsid w:val="000B26F4"/>
    <w:rsid w:val="000B3B80"/>
    <w:rsid w:val="000B3BBE"/>
    <w:rsid w:val="000B41D2"/>
    <w:rsid w:val="000B5C91"/>
    <w:rsid w:val="000B6592"/>
    <w:rsid w:val="000B663D"/>
    <w:rsid w:val="000B7F20"/>
    <w:rsid w:val="000B7F6B"/>
    <w:rsid w:val="000C02BB"/>
    <w:rsid w:val="000C05D2"/>
    <w:rsid w:val="000C1A50"/>
    <w:rsid w:val="000C1E7C"/>
    <w:rsid w:val="000C2065"/>
    <w:rsid w:val="000C24BD"/>
    <w:rsid w:val="000C287B"/>
    <w:rsid w:val="000C2924"/>
    <w:rsid w:val="000C2E70"/>
    <w:rsid w:val="000C3BE0"/>
    <w:rsid w:val="000C435B"/>
    <w:rsid w:val="000C5625"/>
    <w:rsid w:val="000C57D7"/>
    <w:rsid w:val="000C64F3"/>
    <w:rsid w:val="000C7B41"/>
    <w:rsid w:val="000D00CF"/>
    <w:rsid w:val="000D02C2"/>
    <w:rsid w:val="000D03F4"/>
    <w:rsid w:val="000D0C9B"/>
    <w:rsid w:val="000D0DBA"/>
    <w:rsid w:val="000D1134"/>
    <w:rsid w:val="000D13E7"/>
    <w:rsid w:val="000D192B"/>
    <w:rsid w:val="000D23C3"/>
    <w:rsid w:val="000D47EF"/>
    <w:rsid w:val="000D537D"/>
    <w:rsid w:val="000D6F76"/>
    <w:rsid w:val="000E2945"/>
    <w:rsid w:val="000E36C5"/>
    <w:rsid w:val="000E4272"/>
    <w:rsid w:val="000E4650"/>
    <w:rsid w:val="000E5260"/>
    <w:rsid w:val="000E5435"/>
    <w:rsid w:val="000E6408"/>
    <w:rsid w:val="000E6BF2"/>
    <w:rsid w:val="000E7F24"/>
    <w:rsid w:val="000F0E01"/>
    <w:rsid w:val="000F136E"/>
    <w:rsid w:val="000F1C5C"/>
    <w:rsid w:val="000F2567"/>
    <w:rsid w:val="000F553C"/>
    <w:rsid w:val="000F5600"/>
    <w:rsid w:val="000F686F"/>
    <w:rsid w:val="000F6E6B"/>
    <w:rsid w:val="000F783E"/>
    <w:rsid w:val="000F7FB7"/>
    <w:rsid w:val="00100893"/>
    <w:rsid w:val="001011B8"/>
    <w:rsid w:val="00102909"/>
    <w:rsid w:val="001052C5"/>
    <w:rsid w:val="00105C4E"/>
    <w:rsid w:val="00106530"/>
    <w:rsid w:val="00106786"/>
    <w:rsid w:val="00106B86"/>
    <w:rsid w:val="00106C02"/>
    <w:rsid w:val="001114FF"/>
    <w:rsid w:val="0011213C"/>
    <w:rsid w:val="0011241C"/>
    <w:rsid w:val="00112907"/>
    <w:rsid w:val="00114C29"/>
    <w:rsid w:val="00114CBC"/>
    <w:rsid w:val="00115656"/>
    <w:rsid w:val="001157D7"/>
    <w:rsid w:val="001160A7"/>
    <w:rsid w:val="00121757"/>
    <w:rsid w:val="001231D7"/>
    <w:rsid w:val="00124567"/>
    <w:rsid w:val="00124B4B"/>
    <w:rsid w:val="00124B68"/>
    <w:rsid w:val="001252B6"/>
    <w:rsid w:val="00125516"/>
    <w:rsid w:val="00125896"/>
    <w:rsid w:val="001259D3"/>
    <w:rsid w:val="00126D5B"/>
    <w:rsid w:val="00126F36"/>
    <w:rsid w:val="00127950"/>
    <w:rsid w:val="00130006"/>
    <w:rsid w:val="001306B3"/>
    <w:rsid w:val="00130A6A"/>
    <w:rsid w:val="00130B06"/>
    <w:rsid w:val="00132F64"/>
    <w:rsid w:val="001337D1"/>
    <w:rsid w:val="00133D2D"/>
    <w:rsid w:val="00135014"/>
    <w:rsid w:val="001355F9"/>
    <w:rsid w:val="0013582A"/>
    <w:rsid w:val="001362B4"/>
    <w:rsid w:val="00136FD8"/>
    <w:rsid w:val="00137C65"/>
    <w:rsid w:val="00140B61"/>
    <w:rsid w:val="00142512"/>
    <w:rsid w:val="00142A47"/>
    <w:rsid w:val="00142C27"/>
    <w:rsid w:val="00143472"/>
    <w:rsid w:val="001438AB"/>
    <w:rsid w:val="0014448D"/>
    <w:rsid w:val="00145490"/>
    <w:rsid w:val="00147501"/>
    <w:rsid w:val="00147597"/>
    <w:rsid w:val="00150493"/>
    <w:rsid w:val="001509CA"/>
    <w:rsid w:val="0015119B"/>
    <w:rsid w:val="001511B2"/>
    <w:rsid w:val="00151C9E"/>
    <w:rsid w:val="00152D60"/>
    <w:rsid w:val="001534AE"/>
    <w:rsid w:val="00153636"/>
    <w:rsid w:val="001539B3"/>
    <w:rsid w:val="00154011"/>
    <w:rsid w:val="00154C96"/>
    <w:rsid w:val="00154FC5"/>
    <w:rsid w:val="001555CE"/>
    <w:rsid w:val="00155A48"/>
    <w:rsid w:val="00157291"/>
    <w:rsid w:val="00160022"/>
    <w:rsid w:val="001606CD"/>
    <w:rsid w:val="001607F2"/>
    <w:rsid w:val="001618CB"/>
    <w:rsid w:val="0016300D"/>
    <w:rsid w:val="001637C3"/>
    <w:rsid w:val="00163AC0"/>
    <w:rsid w:val="00164F05"/>
    <w:rsid w:val="00165071"/>
    <w:rsid w:val="00165EAE"/>
    <w:rsid w:val="00166036"/>
    <w:rsid w:val="0017039A"/>
    <w:rsid w:val="0017042F"/>
    <w:rsid w:val="001704A8"/>
    <w:rsid w:val="001706B5"/>
    <w:rsid w:val="00170D67"/>
    <w:rsid w:val="00171DF7"/>
    <w:rsid w:val="00171E0D"/>
    <w:rsid w:val="00172CEE"/>
    <w:rsid w:val="00172F36"/>
    <w:rsid w:val="0017322B"/>
    <w:rsid w:val="00173D3B"/>
    <w:rsid w:val="001751B4"/>
    <w:rsid w:val="0017546E"/>
    <w:rsid w:val="00175F3F"/>
    <w:rsid w:val="001825A0"/>
    <w:rsid w:val="0018314B"/>
    <w:rsid w:val="001834E6"/>
    <w:rsid w:val="00184704"/>
    <w:rsid w:val="00184F0F"/>
    <w:rsid w:val="001850ED"/>
    <w:rsid w:val="001853CD"/>
    <w:rsid w:val="00185826"/>
    <w:rsid w:val="001867C3"/>
    <w:rsid w:val="001917D1"/>
    <w:rsid w:val="00191B1F"/>
    <w:rsid w:val="001921DB"/>
    <w:rsid w:val="00192608"/>
    <w:rsid w:val="00192FA3"/>
    <w:rsid w:val="0019347B"/>
    <w:rsid w:val="00193951"/>
    <w:rsid w:val="00193D99"/>
    <w:rsid w:val="0019757C"/>
    <w:rsid w:val="00197A34"/>
    <w:rsid w:val="001A038F"/>
    <w:rsid w:val="001A0C5B"/>
    <w:rsid w:val="001A0EF3"/>
    <w:rsid w:val="001A23EC"/>
    <w:rsid w:val="001A2757"/>
    <w:rsid w:val="001A2BA2"/>
    <w:rsid w:val="001A2F85"/>
    <w:rsid w:val="001A3228"/>
    <w:rsid w:val="001A4200"/>
    <w:rsid w:val="001A47BE"/>
    <w:rsid w:val="001A5351"/>
    <w:rsid w:val="001A5D9E"/>
    <w:rsid w:val="001A65D4"/>
    <w:rsid w:val="001B015E"/>
    <w:rsid w:val="001B07EA"/>
    <w:rsid w:val="001B1668"/>
    <w:rsid w:val="001B1699"/>
    <w:rsid w:val="001B1E01"/>
    <w:rsid w:val="001B29F2"/>
    <w:rsid w:val="001B2EC5"/>
    <w:rsid w:val="001B3224"/>
    <w:rsid w:val="001B3520"/>
    <w:rsid w:val="001B3BD6"/>
    <w:rsid w:val="001B49A4"/>
    <w:rsid w:val="001B53D1"/>
    <w:rsid w:val="001B6686"/>
    <w:rsid w:val="001B7228"/>
    <w:rsid w:val="001B728F"/>
    <w:rsid w:val="001B79BA"/>
    <w:rsid w:val="001C00EE"/>
    <w:rsid w:val="001C02BB"/>
    <w:rsid w:val="001C09E0"/>
    <w:rsid w:val="001C0A50"/>
    <w:rsid w:val="001C0C4D"/>
    <w:rsid w:val="001C107A"/>
    <w:rsid w:val="001C2806"/>
    <w:rsid w:val="001C30A8"/>
    <w:rsid w:val="001C3952"/>
    <w:rsid w:val="001C481D"/>
    <w:rsid w:val="001C573F"/>
    <w:rsid w:val="001C73CD"/>
    <w:rsid w:val="001C77BA"/>
    <w:rsid w:val="001C79AE"/>
    <w:rsid w:val="001D1040"/>
    <w:rsid w:val="001D27FA"/>
    <w:rsid w:val="001D340F"/>
    <w:rsid w:val="001D392A"/>
    <w:rsid w:val="001D3FB2"/>
    <w:rsid w:val="001D48AE"/>
    <w:rsid w:val="001D5295"/>
    <w:rsid w:val="001D6DFA"/>
    <w:rsid w:val="001D7574"/>
    <w:rsid w:val="001D77B1"/>
    <w:rsid w:val="001D7D7B"/>
    <w:rsid w:val="001E01CC"/>
    <w:rsid w:val="001E0782"/>
    <w:rsid w:val="001E12B6"/>
    <w:rsid w:val="001E37EF"/>
    <w:rsid w:val="001E38F3"/>
    <w:rsid w:val="001E439A"/>
    <w:rsid w:val="001E582D"/>
    <w:rsid w:val="001E58CD"/>
    <w:rsid w:val="001E67C8"/>
    <w:rsid w:val="001E7395"/>
    <w:rsid w:val="001E744D"/>
    <w:rsid w:val="001E7877"/>
    <w:rsid w:val="001F1057"/>
    <w:rsid w:val="001F25F7"/>
    <w:rsid w:val="001F323A"/>
    <w:rsid w:val="001F4384"/>
    <w:rsid w:val="001F48F2"/>
    <w:rsid w:val="001F5018"/>
    <w:rsid w:val="001F5CEC"/>
    <w:rsid w:val="001F794E"/>
    <w:rsid w:val="00200E5A"/>
    <w:rsid w:val="002016F6"/>
    <w:rsid w:val="00204E36"/>
    <w:rsid w:val="002050D0"/>
    <w:rsid w:val="002052C0"/>
    <w:rsid w:val="002052D6"/>
    <w:rsid w:val="0021226E"/>
    <w:rsid w:val="0021458D"/>
    <w:rsid w:val="00214BA5"/>
    <w:rsid w:val="00215A3D"/>
    <w:rsid w:val="00216810"/>
    <w:rsid w:val="002172EC"/>
    <w:rsid w:val="00217708"/>
    <w:rsid w:val="00217B80"/>
    <w:rsid w:val="002212E3"/>
    <w:rsid w:val="00221F92"/>
    <w:rsid w:val="00222A7A"/>
    <w:rsid w:val="002235EA"/>
    <w:rsid w:val="00223829"/>
    <w:rsid w:val="0022459F"/>
    <w:rsid w:val="00224698"/>
    <w:rsid w:val="00225144"/>
    <w:rsid w:val="00225AED"/>
    <w:rsid w:val="002260F2"/>
    <w:rsid w:val="00227ED0"/>
    <w:rsid w:val="00230808"/>
    <w:rsid w:val="0023110E"/>
    <w:rsid w:val="00231EAA"/>
    <w:rsid w:val="00232227"/>
    <w:rsid w:val="00234CED"/>
    <w:rsid w:val="00235032"/>
    <w:rsid w:val="00240276"/>
    <w:rsid w:val="00240381"/>
    <w:rsid w:val="00240536"/>
    <w:rsid w:val="002415CE"/>
    <w:rsid w:val="0024305B"/>
    <w:rsid w:val="00243C49"/>
    <w:rsid w:val="00244B15"/>
    <w:rsid w:val="00244C46"/>
    <w:rsid w:val="00245210"/>
    <w:rsid w:val="00246F81"/>
    <w:rsid w:val="002477DE"/>
    <w:rsid w:val="00247B1B"/>
    <w:rsid w:val="002508B4"/>
    <w:rsid w:val="00250BD7"/>
    <w:rsid w:val="00251A72"/>
    <w:rsid w:val="00252566"/>
    <w:rsid w:val="00253764"/>
    <w:rsid w:val="00253DCF"/>
    <w:rsid w:val="0025417F"/>
    <w:rsid w:val="00255A1A"/>
    <w:rsid w:val="00256A35"/>
    <w:rsid w:val="00256C44"/>
    <w:rsid w:val="0025701C"/>
    <w:rsid w:val="002570EB"/>
    <w:rsid w:val="00261092"/>
    <w:rsid w:val="00261366"/>
    <w:rsid w:val="00261890"/>
    <w:rsid w:val="00261A6C"/>
    <w:rsid w:val="00262224"/>
    <w:rsid w:val="00262240"/>
    <w:rsid w:val="00262F45"/>
    <w:rsid w:val="002642E8"/>
    <w:rsid w:val="00266378"/>
    <w:rsid w:val="002673F8"/>
    <w:rsid w:val="0027047D"/>
    <w:rsid w:val="00270669"/>
    <w:rsid w:val="00271371"/>
    <w:rsid w:val="00272961"/>
    <w:rsid w:val="00272A24"/>
    <w:rsid w:val="00273BA4"/>
    <w:rsid w:val="0027406C"/>
    <w:rsid w:val="00274215"/>
    <w:rsid w:val="00275CDE"/>
    <w:rsid w:val="00276C62"/>
    <w:rsid w:val="00276EBA"/>
    <w:rsid w:val="00277BA0"/>
    <w:rsid w:val="00280508"/>
    <w:rsid w:val="00280F85"/>
    <w:rsid w:val="002819FE"/>
    <w:rsid w:val="0028232B"/>
    <w:rsid w:val="00282870"/>
    <w:rsid w:val="00282C0C"/>
    <w:rsid w:val="002836B7"/>
    <w:rsid w:val="00283D02"/>
    <w:rsid w:val="00285812"/>
    <w:rsid w:val="002862D6"/>
    <w:rsid w:val="0028662D"/>
    <w:rsid w:val="00287327"/>
    <w:rsid w:val="002877C5"/>
    <w:rsid w:val="0028789B"/>
    <w:rsid w:val="00290D85"/>
    <w:rsid w:val="00291AFD"/>
    <w:rsid w:val="002936E6"/>
    <w:rsid w:val="00294761"/>
    <w:rsid w:val="00294780"/>
    <w:rsid w:val="00295864"/>
    <w:rsid w:val="00295DF9"/>
    <w:rsid w:val="00297763"/>
    <w:rsid w:val="0029791A"/>
    <w:rsid w:val="002A012F"/>
    <w:rsid w:val="002A047C"/>
    <w:rsid w:val="002A06A5"/>
    <w:rsid w:val="002A0EBD"/>
    <w:rsid w:val="002A3CC7"/>
    <w:rsid w:val="002A3EFB"/>
    <w:rsid w:val="002B1BFF"/>
    <w:rsid w:val="002B396D"/>
    <w:rsid w:val="002B3BA0"/>
    <w:rsid w:val="002B43E8"/>
    <w:rsid w:val="002B4965"/>
    <w:rsid w:val="002B4A8E"/>
    <w:rsid w:val="002B5107"/>
    <w:rsid w:val="002B6A52"/>
    <w:rsid w:val="002C0AB0"/>
    <w:rsid w:val="002C12B0"/>
    <w:rsid w:val="002C2937"/>
    <w:rsid w:val="002C4C7B"/>
    <w:rsid w:val="002C5DA9"/>
    <w:rsid w:val="002C7ADD"/>
    <w:rsid w:val="002C7C77"/>
    <w:rsid w:val="002D0C42"/>
    <w:rsid w:val="002D1486"/>
    <w:rsid w:val="002D1C1F"/>
    <w:rsid w:val="002D2078"/>
    <w:rsid w:val="002D2C8F"/>
    <w:rsid w:val="002D2D06"/>
    <w:rsid w:val="002D3194"/>
    <w:rsid w:val="002D35DB"/>
    <w:rsid w:val="002D3746"/>
    <w:rsid w:val="002D48C7"/>
    <w:rsid w:val="002D5693"/>
    <w:rsid w:val="002D6465"/>
    <w:rsid w:val="002D6DBD"/>
    <w:rsid w:val="002E012B"/>
    <w:rsid w:val="002E0176"/>
    <w:rsid w:val="002E0DC2"/>
    <w:rsid w:val="002E0FD9"/>
    <w:rsid w:val="002E1AB4"/>
    <w:rsid w:val="002E2013"/>
    <w:rsid w:val="002E318D"/>
    <w:rsid w:val="002E34D2"/>
    <w:rsid w:val="002E4777"/>
    <w:rsid w:val="002E498D"/>
    <w:rsid w:val="002E4D8D"/>
    <w:rsid w:val="002E5328"/>
    <w:rsid w:val="002E55B8"/>
    <w:rsid w:val="002E6952"/>
    <w:rsid w:val="002E7D23"/>
    <w:rsid w:val="002F04EF"/>
    <w:rsid w:val="002F172A"/>
    <w:rsid w:val="002F29F3"/>
    <w:rsid w:val="002F3AC1"/>
    <w:rsid w:val="002F4327"/>
    <w:rsid w:val="002F4E48"/>
    <w:rsid w:val="002F5A21"/>
    <w:rsid w:val="002F66A2"/>
    <w:rsid w:val="002F6F29"/>
    <w:rsid w:val="002F7407"/>
    <w:rsid w:val="002F7B2F"/>
    <w:rsid w:val="002F7F7C"/>
    <w:rsid w:val="003007C3"/>
    <w:rsid w:val="003008E4"/>
    <w:rsid w:val="00302245"/>
    <w:rsid w:val="00302337"/>
    <w:rsid w:val="003045F3"/>
    <w:rsid w:val="0030532B"/>
    <w:rsid w:val="0030573F"/>
    <w:rsid w:val="003103A1"/>
    <w:rsid w:val="00311909"/>
    <w:rsid w:val="0031248E"/>
    <w:rsid w:val="00315406"/>
    <w:rsid w:val="00315434"/>
    <w:rsid w:val="00316A31"/>
    <w:rsid w:val="0031745F"/>
    <w:rsid w:val="00317A1E"/>
    <w:rsid w:val="00317A9D"/>
    <w:rsid w:val="00320551"/>
    <w:rsid w:val="003218A8"/>
    <w:rsid w:val="003225AF"/>
    <w:rsid w:val="00322E1C"/>
    <w:rsid w:val="00323B08"/>
    <w:rsid w:val="00323B15"/>
    <w:rsid w:val="00324295"/>
    <w:rsid w:val="00324FAF"/>
    <w:rsid w:val="00325598"/>
    <w:rsid w:val="00325CC3"/>
    <w:rsid w:val="00326452"/>
    <w:rsid w:val="003278F0"/>
    <w:rsid w:val="00327A71"/>
    <w:rsid w:val="003318E9"/>
    <w:rsid w:val="00331F23"/>
    <w:rsid w:val="00332486"/>
    <w:rsid w:val="003324C2"/>
    <w:rsid w:val="00332C38"/>
    <w:rsid w:val="00333664"/>
    <w:rsid w:val="00333E35"/>
    <w:rsid w:val="0033405E"/>
    <w:rsid w:val="00334BED"/>
    <w:rsid w:val="00337A5F"/>
    <w:rsid w:val="00337FA3"/>
    <w:rsid w:val="00340484"/>
    <w:rsid w:val="003408B3"/>
    <w:rsid w:val="00341581"/>
    <w:rsid w:val="00341B4D"/>
    <w:rsid w:val="00341F2D"/>
    <w:rsid w:val="00342A91"/>
    <w:rsid w:val="00342D3A"/>
    <w:rsid w:val="00342FB7"/>
    <w:rsid w:val="00344D07"/>
    <w:rsid w:val="003452A4"/>
    <w:rsid w:val="00345A17"/>
    <w:rsid w:val="00345D10"/>
    <w:rsid w:val="00346CF0"/>
    <w:rsid w:val="0034769B"/>
    <w:rsid w:val="00350F95"/>
    <w:rsid w:val="00351A5B"/>
    <w:rsid w:val="00353969"/>
    <w:rsid w:val="00354B37"/>
    <w:rsid w:val="00354E7F"/>
    <w:rsid w:val="003552E2"/>
    <w:rsid w:val="00357272"/>
    <w:rsid w:val="00357771"/>
    <w:rsid w:val="003607AF"/>
    <w:rsid w:val="003619A4"/>
    <w:rsid w:val="00361CCF"/>
    <w:rsid w:val="00362E31"/>
    <w:rsid w:val="00365242"/>
    <w:rsid w:val="00365DD0"/>
    <w:rsid w:val="003672A6"/>
    <w:rsid w:val="003675A6"/>
    <w:rsid w:val="00367A45"/>
    <w:rsid w:val="00367B2C"/>
    <w:rsid w:val="0037110B"/>
    <w:rsid w:val="00371178"/>
    <w:rsid w:val="003713A9"/>
    <w:rsid w:val="00372E83"/>
    <w:rsid w:val="00373408"/>
    <w:rsid w:val="0037468B"/>
    <w:rsid w:val="003777AE"/>
    <w:rsid w:val="003800D5"/>
    <w:rsid w:val="003823D5"/>
    <w:rsid w:val="00382BC7"/>
    <w:rsid w:val="0038378B"/>
    <w:rsid w:val="00383C8A"/>
    <w:rsid w:val="00385111"/>
    <w:rsid w:val="00385642"/>
    <w:rsid w:val="00385989"/>
    <w:rsid w:val="0038617F"/>
    <w:rsid w:val="00386DD5"/>
    <w:rsid w:val="0038701C"/>
    <w:rsid w:val="00391096"/>
    <w:rsid w:val="00391254"/>
    <w:rsid w:val="00391299"/>
    <w:rsid w:val="003927DA"/>
    <w:rsid w:val="003928FE"/>
    <w:rsid w:val="003935E9"/>
    <w:rsid w:val="00393685"/>
    <w:rsid w:val="003950D3"/>
    <w:rsid w:val="00395E85"/>
    <w:rsid w:val="003972EE"/>
    <w:rsid w:val="00397347"/>
    <w:rsid w:val="00397E82"/>
    <w:rsid w:val="003A3058"/>
    <w:rsid w:val="003A4437"/>
    <w:rsid w:val="003A4AB5"/>
    <w:rsid w:val="003A4F0B"/>
    <w:rsid w:val="003A4F9F"/>
    <w:rsid w:val="003A58B5"/>
    <w:rsid w:val="003A5BD1"/>
    <w:rsid w:val="003A674F"/>
    <w:rsid w:val="003A733F"/>
    <w:rsid w:val="003A788F"/>
    <w:rsid w:val="003A7A8F"/>
    <w:rsid w:val="003B0428"/>
    <w:rsid w:val="003B0928"/>
    <w:rsid w:val="003B098E"/>
    <w:rsid w:val="003B1065"/>
    <w:rsid w:val="003B255F"/>
    <w:rsid w:val="003B2977"/>
    <w:rsid w:val="003B2F68"/>
    <w:rsid w:val="003B3F27"/>
    <w:rsid w:val="003B499C"/>
    <w:rsid w:val="003B4ED0"/>
    <w:rsid w:val="003B59F6"/>
    <w:rsid w:val="003B6635"/>
    <w:rsid w:val="003B7757"/>
    <w:rsid w:val="003C0146"/>
    <w:rsid w:val="003C0B0D"/>
    <w:rsid w:val="003C276B"/>
    <w:rsid w:val="003C3705"/>
    <w:rsid w:val="003C38BD"/>
    <w:rsid w:val="003C3FB3"/>
    <w:rsid w:val="003C6149"/>
    <w:rsid w:val="003C6E38"/>
    <w:rsid w:val="003D19BF"/>
    <w:rsid w:val="003D49B5"/>
    <w:rsid w:val="003D4C19"/>
    <w:rsid w:val="003D7357"/>
    <w:rsid w:val="003D7653"/>
    <w:rsid w:val="003D7768"/>
    <w:rsid w:val="003D7AD9"/>
    <w:rsid w:val="003D7B53"/>
    <w:rsid w:val="003E18FD"/>
    <w:rsid w:val="003E2224"/>
    <w:rsid w:val="003E3490"/>
    <w:rsid w:val="003E38F2"/>
    <w:rsid w:val="003E40C2"/>
    <w:rsid w:val="003E5329"/>
    <w:rsid w:val="003E6D7B"/>
    <w:rsid w:val="003E73C9"/>
    <w:rsid w:val="003F08E5"/>
    <w:rsid w:val="003F08E8"/>
    <w:rsid w:val="003F1A07"/>
    <w:rsid w:val="003F2F06"/>
    <w:rsid w:val="003F2F77"/>
    <w:rsid w:val="003F3435"/>
    <w:rsid w:val="003F3D66"/>
    <w:rsid w:val="003F51C4"/>
    <w:rsid w:val="003F69D4"/>
    <w:rsid w:val="003F79F7"/>
    <w:rsid w:val="003F7D6A"/>
    <w:rsid w:val="003F7EF1"/>
    <w:rsid w:val="004010C9"/>
    <w:rsid w:val="00401C08"/>
    <w:rsid w:val="00402A67"/>
    <w:rsid w:val="00402B7D"/>
    <w:rsid w:val="00402C99"/>
    <w:rsid w:val="00403471"/>
    <w:rsid w:val="00403A7F"/>
    <w:rsid w:val="00403DDF"/>
    <w:rsid w:val="0040457D"/>
    <w:rsid w:val="0040484D"/>
    <w:rsid w:val="00404C09"/>
    <w:rsid w:val="00404D18"/>
    <w:rsid w:val="00405CD3"/>
    <w:rsid w:val="0040601A"/>
    <w:rsid w:val="00407933"/>
    <w:rsid w:val="00410C73"/>
    <w:rsid w:val="0041131E"/>
    <w:rsid w:val="004114A9"/>
    <w:rsid w:val="00413A42"/>
    <w:rsid w:val="0041472B"/>
    <w:rsid w:val="00415064"/>
    <w:rsid w:val="0041620F"/>
    <w:rsid w:val="00416E7D"/>
    <w:rsid w:val="004172F3"/>
    <w:rsid w:val="004200A9"/>
    <w:rsid w:val="00420DED"/>
    <w:rsid w:val="00420E63"/>
    <w:rsid w:val="00420E87"/>
    <w:rsid w:val="00420F04"/>
    <w:rsid w:val="00422983"/>
    <w:rsid w:val="004232EB"/>
    <w:rsid w:val="004236DE"/>
    <w:rsid w:val="004246B1"/>
    <w:rsid w:val="00425258"/>
    <w:rsid w:val="00425A75"/>
    <w:rsid w:val="004273F0"/>
    <w:rsid w:val="0042744C"/>
    <w:rsid w:val="004278C5"/>
    <w:rsid w:val="00430296"/>
    <w:rsid w:val="0043065B"/>
    <w:rsid w:val="004307E4"/>
    <w:rsid w:val="0043094C"/>
    <w:rsid w:val="00431594"/>
    <w:rsid w:val="004315D1"/>
    <w:rsid w:val="0043190B"/>
    <w:rsid w:val="00432CB2"/>
    <w:rsid w:val="00432D70"/>
    <w:rsid w:val="0043383A"/>
    <w:rsid w:val="00433956"/>
    <w:rsid w:val="00435041"/>
    <w:rsid w:val="00435910"/>
    <w:rsid w:val="00435AFE"/>
    <w:rsid w:val="00435B06"/>
    <w:rsid w:val="004364EB"/>
    <w:rsid w:val="004366CD"/>
    <w:rsid w:val="00436D55"/>
    <w:rsid w:val="0044015F"/>
    <w:rsid w:val="004403B6"/>
    <w:rsid w:val="0044104C"/>
    <w:rsid w:val="004410AF"/>
    <w:rsid w:val="0044208A"/>
    <w:rsid w:val="00442B46"/>
    <w:rsid w:val="00443663"/>
    <w:rsid w:val="00446AC9"/>
    <w:rsid w:val="00446C05"/>
    <w:rsid w:val="004479B8"/>
    <w:rsid w:val="00450400"/>
    <w:rsid w:val="0045059F"/>
    <w:rsid w:val="004508A5"/>
    <w:rsid w:val="00450F4E"/>
    <w:rsid w:val="00453314"/>
    <w:rsid w:val="00454454"/>
    <w:rsid w:val="00454652"/>
    <w:rsid w:val="00455A03"/>
    <w:rsid w:val="00455D6E"/>
    <w:rsid w:val="00455E85"/>
    <w:rsid w:val="00457DD2"/>
    <w:rsid w:val="00460638"/>
    <w:rsid w:val="0046090E"/>
    <w:rsid w:val="00460E58"/>
    <w:rsid w:val="00462F78"/>
    <w:rsid w:val="004632B5"/>
    <w:rsid w:val="00464809"/>
    <w:rsid w:val="00465D3F"/>
    <w:rsid w:val="004663F7"/>
    <w:rsid w:val="00466427"/>
    <w:rsid w:val="00466E1B"/>
    <w:rsid w:val="00470D76"/>
    <w:rsid w:val="00470E92"/>
    <w:rsid w:val="00471DA4"/>
    <w:rsid w:val="00472325"/>
    <w:rsid w:val="0047309A"/>
    <w:rsid w:val="0047321B"/>
    <w:rsid w:val="00473E3C"/>
    <w:rsid w:val="004743B1"/>
    <w:rsid w:val="00474F04"/>
    <w:rsid w:val="00475259"/>
    <w:rsid w:val="004758D3"/>
    <w:rsid w:val="00476C29"/>
    <w:rsid w:val="004808F6"/>
    <w:rsid w:val="004822BA"/>
    <w:rsid w:val="00482414"/>
    <w:rsid w:val="0048333F"/>
    <w:rsid w:val="00484282"/>
    <w:rsid w:val="0048430E"/>
    <w:rsid w:val="004843F0"/>
    <w:rsid w:val="00484670"/>
    <w:rsid w:val="004846C2"/>
    <w:rsid w:val="004852F2"/>
    <w:rsid w:val="004856C2"/>
    <w:rsid w:val="004856E0"/>
    <w:rsid w:val="00486B8C"/>
    <w:rsid w:val="00487189"/>
    <w:rsid w:val="004871F7"/>
    <w:rsid w:val="00487551"/>
    <w:rsid w:val="004879F2"/>
    <w:rsid w:val="004902B6"/>
    <w:rsid w:val="004910D5"/>
    <w:rsid w:val="00491291"/>
    <w:rsid w:val="00491CED"/>
    <w:rsid w:val="004921AC"/>
    <w:rsid w:val="00492339"/>
    <w:rsid w:val="004924E5"/>
    <w:rsid w:val="00493591"/>
    <w:rsid w:val="00494CF4"/>
    <w:rsid w:val="00494EE1"/>
    <w:rsid w:val="004957AB"/>
    <w:rsid w:val="00495AE8"/>
    <w:rsid w:val="00495B35"/>
    <w:rsid w:val="00495D37"/>
    <w:rsid w:val="004A0F85"/>
    <w:rsid w:val="004A1434"/>
    <w:rsid w:val="004A1983"/>
    <w:rsid w:val="004A1B67"/>
    <w:rsid w:val="004A1D27"/>
    <w:rsid w:val="004A2ABA"/>
    <w:rsid w:val="004A2AD7"/>
    <w:rsid w:val="004A2FB6"/>
    <w:rsid w:val="004A380C"/>
    <w:rsid w:val="004A3DFD"/>
    <w:rsid w:val="004A5393"/>
    <w:rsid w:val="004A58D2"/>
    <w:rsid w:val="004A6A63"/>
    <w:rsid w:val="004A758A"/>
    <w:rsid w:val="004A7892"/>
    <w:rsid w:val="004B0362"/>
    <w:rsid w:val="004B0C14"/>
    <w:rsid w:val="004B19BD"/>
    <w:rsid w:val="004B2138"/>
    <w:rsid w:val="004B224E"/>
    <w:rsid w:val="004B2682"/>
    <w:rsid w:val="004B3943"/>
    <w:rsid w:val="004B3D28"/>
    <w:rsid w:val="004B4605"/>
    <w:rsid w:val="004B4840"/>
    <w:rsid w:val="004B53CB"/>
    <w:rsid w:val="004B6354"/>
    <w:rsid w:val="004B7986"/>
    <w:rsid w:val="004C0440"/>
    <w:rsid w:val="004C0F1C"/>
    <w:rsid w:val="004C1C4E"/>
    <w:rsid w:val="004C1EBD"/>
    <w:rsid w:val="004C2477"/>
    <w:rsid w:val="004C2911"/>
    <w:rsid w:val="004C4972"/>
    <w:rsid w:val="004C61D0"/>
    <w:rsid w:val="004C625B"/>
    <w:rsid w:val="004C6956"/>
    <w:rsid w:val="004D0228"/>
    <w:rsid w:val="004D022D"/>
    <w:rsid w:val="004D1A08"/>
    <w:rsid w:val="004D1E00"/>
    <w:rsid w:val="004D25CD"/>
    <w:rsid w:val="004D35FE"/>
    <w:rsid w:val="004D3722"/>
    <w:rsid w:val="004D3BD7"/>
    <w:rsid w:val="004D5C4F"/>
    <w:rsid w:val="004D61A2"/>
    <w:rsid w:val="004D67A8"/>
    <w:rsid w:val="004D7640"/>
    <w:rsid w:val="004D7A27"/>
    <w:rsid w:val="004D7F15"/>
    <w:rsid w:val="004E0E5D"/>
    <w:rsid w:val="004E0FED"/>
    <w:rsid w:val="004E1314"/>
    <w:rsid w:val="004E1D41"/>
    <w:rsid w:val="004E26FF"/>
    <w:rsid w:val="004E2FFF"/>
    <w:rsid w:val="004E41E4"/>
    <w:rsid w:val="004E4D47"/>
    <w:rsid w:val="004E5945"/>
    <w:rsid w:val="004E672F"/>
    <w:rsid w:val="004E6AB6"/>
    <w:rsid w:val="004F0823"/>
    <w:rsid w:val="004F37DB"/>
    <w:rsid w:val="004F3E42"/>
    <w:rsid w:val="004F4C51"/>
    <w:rsid w:val="004F5429"/>
    <w:rsid w:val="004F58CB"/>
    <w:rsid w:val="00501739"/>
    <w:rsid w:val="00502AFD"/>
    <w:rsid w:val="00503915"/>
    <w:rsid w:val="005045CE"/>
    <w:rsid w:val="00505475"/>
    <w:rsid w:val="005058DA"/>
    <w:rsid w:val="00510CDF"/>
    <w:rsid w:val="00511556"/>
    <w:rsid w:val="005116C3"/>
    <w:rsid w:val="00511D7B"/>
    <w:rsid w:val="00511E38"/>
    <w:rsid w:val="00514079"/>
    <w:rsid w:val="0051454B"/>
    <w:rsid w:val="00515624"/>
    <w:rsid w:val="00516428"/>
    <w:rsid w:val="00516C72"/>
    <w:rsid w:val="00516DBD"/>
    <w:rsid w:val="005200AA"/>
    <w:rsid w:val="00521683"/>
    <w:rsid w:val="0052255E"/>
    <w:rsid w:val="005228FF"/>
    <w:rsid w:val="00522A00"/>
    <w:rsid w:val="00522BC8"/>
    <w:rsid w:val="00523A18"/>
    <w:rsid w:val="00524064"/>
    <w:rsid w:val="00524BD1"/>
    <w:rsid w:val="00524C3B"/>
    <w:rsid w:val="00524ED8"/>
    <w:rsid w:val="005257A6"/>
    <w:rsid w:val="00525EC3"/>
    <w:rsid w:val="0052746C"/>
    <w:rsid w:val="005274C7"/>
    <w:rsid w:val="005277EE"/>
    <w:rsid w:val="005300F0"/>
    <w:rsid w:val="005302F0"/>
    <w:rsid w:val="005326E3"/>
    <w:rsid w:val="0053290D"/>
    <w:rsid w:val="00535663"/>
    <w:rsid w:val="00535FA3"/>
    <w:rsid w:val="0053697F"/>
    <w:rsid w:val="00540AB2"/>
    <w:rsid w:val="005423F4"/>
    <w:rsid w:val="00542520"/>
    <w:rsid w:val="005427DA"/>
    <w:rsid w:val="0054307F"/>
    <w:rsid w:val="00543372"/>
    <w:rsid w:val="005436FF"/>
    <w:rsid w:val="0054395B"/>
    <w:rsid w:val="00543D90"/>
    <w:rsid w:val="00543DA3"/>
    <w:rsid w:val="00544AD3"/>
    <w:rsid w:val="00544FBA"/>
    <w:rsid w:val="00545D23"/>
    <w:rsid w:val="00545D89"/>
    <w:rsid w:val="00545DD9"/>
    <w:rsid w:val="00546961"/>
    <w:rsid w:val="00546E49"/>
    <w:rsid w:val="00547333"/>
    <w:rsid w:val="00547786"/>
    <w:rsid w:val="0055156A"/>
    <w:rsid w:val="00551951"/>
    <w:rsid w:val="00551DE6"/>
    <w:rsid w:val="00553427"/>
    <w:rsid w:val="0055342D"/>
    <w:rsid w:val="005535B0"/>
    <w:rsid w:val="00554122"/>
    <w:rsid w:val="00555452"/>
    <w:rsid w:val="00555BDC"/>
    <w:rsid w:val="00555C1F"/>
    <w:rsid w:val="00555F82"/>
    <w:rsid w:val="00556ECD"/>
    <w:rsid w:val="0055767B"/>
    <w:rsid w:val="005612A2"/>
    <w:rsid w:val="0056186E"/>
    <w:rsid w:val="00562BB7"/>
    <w:rsid w:val="00563115"/>
    <w:rsid w:val="005635E6"/>
    <w:rsid w:val="00563E63"/>
    <w:rsid w:val="00566684"/>
    <w:rsid w:val="005666A1"/>
    <w:rsid w:val="005667C6"/>
    <w:rsid w:val="00567365"/>
    <w:rsid w:val="005677C8"/>
    <w:rsid w:val="0057088A"/>
    <w:rsid w:val="00571148"/>
    <w:rsid w:val="00571788"/>
    <w:rsid w:val="00573CF3"/>
    <w:rsid w:val="005744BB"/>
    <w:rsid w:val="005746FA"/>
    <w:rsid w:val="00575AAC"/>
    <w:rsid w:val="005770B2"/>
    <w:rsid w:val="005772B5"/>
    <w:rsid w:val="00577B21"/>
    <w:rsid w:val="005822C0"/>
    <w:rsid w:val="00582319"/>
    <w:rsid w:val="0058290D"/>
    <w:rsid w:val="00582CB3"/>
    <w:rsid w:val="00584F01"/>
    <w:rsid w:val="005858A2"/>
    <w:rsid w:val="0058688D"/>
    <w:rsid w:val="00586C5F"/>
    <w:rsid w:val="00587140"/>
    <w:rsid w:val="0059221A"/>
    <w:rsid w:val="005937A8"/>
    <w:rsid w:val="00594257"/>
    <w:rsid w:val="00594DC9"/>
    <w:rsid w:val="00594DCB"/>
    <w:rsid w:val="00596AEC"/>
    <w:rsid w:val="005970D5"/>
    <w:rsid w:val="0059712B"/>
    <w:rsid w:val="00597578"/>
    <w:rsid w:val="00597B87"/>
    <w:rsid w:val="005A21EC"/>
    <w:rsid w:val="005A23D0"/>
    <w:rsid w:val="005A2A65"/>
    <w:rsid w:val="005A32F4"/>
    <w:rsid w:val="005A3DAD"/>
    <w:rsid w:val="005A4394"/>
    <w:rsid w:val="005A4B0B"/>
    <w:rsid w:val="005A5D1E"/>
    <w:rsid w:val="005A602E"/>
    <w:rsid w:val="005A761A"/>
    <w:rsid w:val="005A7772"/>
    <w:rsid w:val="005B0798"/>
    <w:rsid w:val="005B0E00"/>
    <w:rsid w:val="005B0F65"/>
    <w:rsid w:val="005B0F6B"/>
    <w:rsid w:val="005B123B"/>
    <w:rsid w:val="005B1601"/>
    <w:rsid w:val="005B187A"/>
    <w:rsid w:val="005B2AF6"/>
    <w:rsid w:val="005B518A"/>
    <w:rsid w:val="005B6971"/>
    <w:rsid w:val="005B6DB8"/>
    <w:rsid w:val="005B7C7E"/>
    <w:rsid w:val="005C08F3"/>
    <w:rsid w:val="005C1817"/>
    <w:rsid w:val="005C19A1"/>
    <w:rsid w:val="005C1D35"/>
    <w:rsid w:val="005C37CC"/>
    <w:rsid w:val="005C4FB0"/>
    <w:rsid w:val="005C6C3A"/>
    <w:rsid w:val="005C765A"/>
    <w:rsid w:val="005C76FA"/>
    <w:rsid w:val="005D01A8"/>
    <w:rsid w:val="005D037D"/>
    <w:rsid w:val="005D1423"/>
    <w:rsid w:val="005D233C"/>
    <w:rsid w:val="005D29E6"/>
    <w:rsid w:val="005D6113"/>
    <w:rsid w:val="005D66AC"/>
    <w:rsid w:val="005D68BA"/>
    <w:rsid w:val="005D75D9"/>
    <w:rsid w:val="005D7DA4"/>
    <w:rsid w:val="005E016D"/>
    <w:rsid w:val="005E04F5"/>
    <w:rsid w:val="005E0640"/>
    <w:rsid w:val="005E2044"/>
    <w:rsid w:val="005E37FD"/>
    <w:rsid w:val="005E3E0B"/>
    <w:rsid w:val="005E56AC"/>
    <w:rsid w:val="005F1A73"/>
    <w:rsid w:val="005F1E98"/>
    <w:rsid w:val="005F2295"/>
    <w:rsid w:val="005F3799"/>
    <w:rsid w:val="005F3A69"/>
    <w:rsid w:val="005F4212"/>
    <w:rsid w:val="005F4ED6"/>
    <w:rsid w:val="005F597E"/>
    <w:rsid w:val="005F6407"/>
    <w:rsid w:val="005F70FA"/>
    <w:rsid w:val="005F77EC"/>
    <w:rsid w:val="005F7942"/>
    <w:rsid w:val="005F7F1E"/>
    <w:rsid w:val="00602286"/>
    <w:rsid w:val="0060308E"/>
    <w:rsid w:val="0060311D"/>
    <w:rsid w:val="006035C2"/>
    <w:rsid w:val="006037F4"/>
    <w:rsid w:val="006045BE"/>
    <w:rsid w:val="006045E5"/>
    <w:rsid w:val="006046B0"/>
    <w:rsid w:val="006046E8"/>
    <w:rsid w:val="006048BE"/>
    <w:rsid w:val="006049C8"/>
    <w:rsid w:val="006057FB"/>
    <w:rsid w:val="00605C3A"/>
    <w:rsid w:val="0060635E"/>
    <w:rsid w:val="00606830"/>
    <w:rsid w:val="00606914"/>
    <w:rsid w:val="00606E45"/>
    <w:rsid w:val="006078B0"/>
    <w:rsid w:val="00610E81"/>
    <w:rsid w:val="0061225A"/>
    <w:rsid w:val="00612449"/>
    <w:rsid w:val="006161B3"/>
    <w:rsid w:val="0061657B"/>
    <w:rsid w:val="006167F5"/>
    <w:rsid w:val="0061684F"/>
    <w:rsid w:val="006172EB"/>
    <w:rsid w:val="006175BE"/>
    <w:rsid w:val="006200C9"/>
    <w:rsid w:val="006217FE"/>
    <w:rsid w:val="00621AA8"/>
    <w:rsid w:val="00621C4E"/>
    <w:rsid w:val="00621EA3"/>
    <w:rsid w:val="00622116"/>
    <w:rsid w:val="006222DD"/>
    <w:rsid w:val="0062329E"/>
    <w:rsid w:val="00623C76"/>
    <w:rsid w:val="00624577"/>
    <w:rsid w:val="00625DD9"/>
    <w:rsid w:val="006278A0"/>
    <w:rsid w:val="0063012C"/>
    <w:rsid w:val="00631945"/>
    <w:rsid w:val="00632E92"/>
    <w:rsid w:val="00636219"/>
    <w:rsid w:val="006364E1"/>
    <w:rsid w:val="006366C4"/>
    <w:rsid w:val="006375F0"/>
    <w:rsid w:val="00640F90"/>
    <w:rsid w:val="00643092"/>
    <w:rsid w:val="00643709"/>
    <w:rsid w:val="00643E3E"/>
    <w:rsid w:val="006466A1"/>
    <w:rsid w:val="00646D57"/>
    <w:rsid w:val="0064769D"/>
    <w:rsid w:val="006500AA"/>
    <w:rsid w:val="0065093F"/>
    <w:rsid w:val="00651146"/>
    <w:rsid w:val="0065370C"/>
    <w:rsid w:val="00654074"/>
    <w:rsid w:val="00655090"/>
    <w:rsid w:val="006569E3"/>
    <w:rsid w:val="006572B3"/>
    <w:rsid w:val="00657A8D"/>
    <w:rsid w:val="00657B0A"/>
    <w:rsid w:val="006614F7"/>
    <w:rsid w:val="00662A23"/>
    <w:rsid w:val="00662F99"/>
    <w:rsid w:val="00662FCB"/>
    <w:rsid w:val="00663B0D"/>
    <w:rsid w:val="00663E94"/>
    <w:rsid w:val="00664635"/>
    <w:rsid w:val="0066493D"/>
    <w:rsid w:val="00665434"/>
    <w:rsid w:val="00666F75"/>
    <w:rsid w:val="006678D0"/>
    <w:rsid w:val="00670119"/>
    <w:rsid w:val="006709A3"/>
    <w:rsid w:val="00672A15"/>
    <w:rsid w:val="006733E1"/>
    <w:rsid w:val="0067354D"/>
    <w:rsid w:val="00673F9B"/>
    <w:rsid w:val="00675D16"/>
    <w:rsid w:val="006760D5"/>
    <w:rsid w:val="006761C1"/>
    <w:rsid w:val="00676A75"/>
    <w:rsid w:val="00676CDE"/>
    <w:rsid w:val="00677935"/>
    <w:rsid w:val="0068105F"/>
    <w:rsid w:val="00681620"/>
    <w:rsid w:val="0068308F"/>
    <w:rsid w:val="006832F4"/>
    <w:rsid w:val="0068452A"/>
    <w:rsid w:val="006848D8"/>
    <w:rsid w:val="00684933"/>
    <w:rsid w:val="00685042"/>
    <w:rsid w:val="0068527B"/>
    <w:rsid w:val="00686EF7"/>
    <w:rsid w:val="0069085D"/>
    <w:rsid w:val="00690976"/>
    <w:rsid w:val="00690E0D"/>
    <w:rsid w:val="00692483"/>
    <w:rsid w:val="0069271F"/>
    <w:rsid w:val="00692C38"/>
    <w:rsid w:val="0069376A"/>
    <w:rsid w:val="00693C25"/>
    <w:rsid w:val="006947AD"/>
    <w:rsid w:val="006949FB"/>
    <w:rsid w:val="00695227"/>
    <w:rsid w:val="00695AD4"/>
    <w:rsid w:val="006A09D3"/>
    <w:rsid w:val="006A112A"/>
    <w:rsid w:val="006A330E"/>
    <w:rsid w:val="006A3A3D"/>
    <w:rsid w:val="006A467D"/>
    <w:rsid w:val="006A5B6A"/>
    <w:rsid w:val="006A618C"/>
    <w:rsid w:val="006A66F8"/>
    <w:rsid w:val="006B111B"/>
    <w:rsid w:val="006B1355"/>
    <w:rsid w:val="006B1DA9"/>
    <w:rsid w:val="006B1EB6"/>
    <w:rsid w:val="006B335B"/>
    <w:rsid w:val="006B429A"/>
    <w:rsid w:val="006B49E1"/>
    <w:rsid w:val="006B6E8A"/>
    <w:rsid w:val="006B7407"/>
    <w:rsid w:val="006B7F2A"/>
    <w:rsid w:val="006C028F"/>
    <w:rsid w:val="006C162F"/>
    <w:rsid w:val="006C1CE3"/>
    <w:rsid w:val="006C2162"/>
    <w:rsid w:val="006C2AD1"/>
    <w:rsid w:val="006C498C"/>
    <w:rsid w:val="006C570A"/>
    <w:rsid w:val="006C5BB7"/>
    <w:rsid w:val="006C6068"/>
    <w:rsid w:val="006C6998"/>
    <w:rsid w:val="006C6A24"/>
    <w:rsid w:val="006C74C6"/>
    <w:rsid w:val="006C7C8C"/>
    <w:rsid w:val="006C7D9F"/>
    <w:rsid w:val="006C7EA4"/>
    <w:rsid w:val="006D106F"/>
    <w:rsid w:val="006D1A1E"/>
    <w:rsid w:val="006D27D3"/>
    <w:rsid w:val="006D2EFA"/>
    <w:rsid w:val="006D4A55"/>
    <w:rsid w:val="006D51A6"/>
    <w:rsid w:val="006D66D3"/>
    <w:rsid w:val="006D6ECF"/>
    <w:rsid w:val="006E0953"/>
    <w:rsid w:val="006E0CDE"/>
    <w:rsid w:val="006E0D66"/>
    <w:rsid w:val="006E27A9"/>
    <w:rsid w:val="006E2892"/>
    <w:rsid w:val="006E2E6A"/>
    <w:rsid w:val="006E3A92"/>
    <w:rsid w:val="006E5EFD"/>
    <w:rsid w:val="006E61A9"/>
    <w:rsid w:val="006E6A7E"/>
    <w:rsid w:val="006E6F56"/>
    <w:rsid w:val="006F057B"/>
    <w:rsid w:val="006F076B"/>
    <w:rsid w:val="006F0DCD"/>
    <w:rsid w:val="006F1A64"/>
    <w:rsid w:val="006F1E0A"/>
    <w:rsid w:val="006F2AB2"/>
    <w:rsid w:val="006F3832"/>
    <w:rsid w:val="006F4A00"/>
    <w:rsid w:val="006F6976"/>
    <w:rsid w:val="006F74BF"/>
    <w:rsid w:val="006F7F36"/>
    <w:rsid w:val="007001DA"/>
    <w:rsid w:val="00700AD9"/>
    <w:rsid w:val="00702911"/>
    <w:rsid w:val="00703A05"/>
    <w:rsid w:val="00703A4D"/>
    <w:rsid w:val="007049BD"/>
    <w:rsid w:val="00705049"/>
    <w:rsid w:val="00707313"/>
    <w:rsid w:val="00711765"/>
    <w:rsid w:val="00711F61"/>
    <w:rsid w:val="007122BD"/>
    <w:rsid w:val="00712361"/>
    <w:rsid w:val="007139F8"/>
    <w:rsid w:val="00714CC8"/>
    <w:rsid w:val="0071649F"/>
    <w:rsid w:val="007164FD"/>
    <w:rsid w:val="007167FA"/>
    <w:rsid w:val="00717855"/>
    <w:rsid w:val="007229D9"/>
    <w:rsid w:val="00722BD0"/>
    <w:rsid w:val="00722FA4"/>
    <w:rsid w:val="00723EC8"/>
    <w:rsid w:val="007254BF"/>
    <w:rsid w:val="00725B08"/>
    <w:rsid w:val="00725C59"/>
    <w:rsid w:val="00726743"/>
    <w:rsid w:val="00726C22"/>
    <w:rsid w:val="0072750D"/>
    <w:rsid w:val="00727932"/>
    <w:rsid w:val="00727BE4"/>
    <w:rsid w:val="00730BE3"/>
    <w:rsid w:val="007312A0"/>
    <w:rsid w:val="00731460"/>
    <w:rsid w:val="00731529"/>
    <w:rsid w:val="00731922"/>
    <w:rsid w:val="00732719"/>
    <w:rsid w:val="00732A94"/>
    <w:rsid w:val="00732ABF"/>
    <w:rsid w:val="00732B78"/>
    <w:rsid w:val="00733633"/>
    <w:rsid w:val="007339C0"/>
    <w:rsid w:val="00734EBB"/>
    <w:rsid w:val="00735103"/>
    <w:rsid w:val="00735D62"/>
    <w:rsid w:val="007361A3"/>
    <w:rsid w:val="00736275"/>
    <w:rsid w:val="00736DBC"/>
    <w:rsid w:val="00736E31"/>
    <w:rsid w:val="00741D33"/>
    <w:rsid w:val="00743819"/>
    <w:rsid w:val="00744633"/>
    <w:rsid w:val="00744DE3"/>
    <w:rsid w:val="0074545A"/>
    <w:rsid w:val="00745B97"/>
    <w:rsid w:val="00745CAD"/>
    <w:rsid w:val="0074602F"/>
    <w:rsid w:val="00746FC4"/>
    <w:rsid w:val="007474B8"/>
    <w:rsid w:val="00747E44"/>
    <w:rsid w:val="0075047A"/>
    <w:rsid w:val="0075049C"/>
    <w:rsid w:val="007508B5"/>
    <w:rsid w:val="00750A18"/>
    <w:rsid w:val="00752091"/>
    <w:rsid w:val="0075595E"/>
    <w:rsid w:val="00755A3C"/>
    <w:rsid w:val="007573AF"/>
    <w:rsid w:val="0076047E"/>
    <w:rsid w:val="0076261B"/>
    <w:rsid w:val="007656B2"/>
    <w:rsid w:val="00765857"/>
    <w:rsid w:val="00766323"/>
    <w:rsid w:val="007673DB"/>
    <w:rsid w:val="0076744C"/>
    <w:rsid w:val="00767AF5"/>
    <w:rsid w:val="0077092B"/>
    <w:rsid w:val="00770C51"/>
    <w:rsid w:val="007712B4"/>
    <w:rsid w:val="00771777"/>
    <w:rsid w:val="00771861"/>
    <w:rsid w:val="0077196A"/>
    <w:rsid w:val="007724E7"/>
    <w:rsid w:val="00772D50"/>
    <w:rsid w:val="007736FC"/>
    <w:rsid w:val="00774F56"/>
    <w:rsid w:val="0077626F"/>
    <w:rsid w:val="00777093"/>
    <w:rsid w:val="00777353"/>
    <w:rsid w:val="00777F6C"/>
    <w:rsid w:val="00781460"/>
    <w:rsid w:val="00781AB7"/>
    <w:rsid w:val="007824D8"/>
    <w:rsid w:val="00782E7D"/>
    <w:rsid w:val="00782FAD"/>
    <w:rsid w:val="00783214"/>
    <w:rsid w:val="0078322B"/>
    <w:rsid w:val="00783A2B"/>
    <w:rsid w:val="00784B86"/>
    <w:rsid w:val="007867FF"/>
    <w:rsid w:val="00786D11"/>
    <w:rsid w:val="0078734B"/>
    <w:rsid w:val="00791DA9"/>
    <w:rsid w:val="007932A9"/>
    <w:rsid w:val="0079551F"/>
    <w:rsid w:val="00795628"/>
    <w:rsid w:val="007961EE"/>
    <w:rsid w:val="0079656C"/>
    <w:rsid w:val="0079790D"/>
    <w:rsid w:val="007A0834"/>
    <w:rsid w:val="007A1660"/>
    <w:rsid w:val="007A4900"/>
    <w:rsid w:val="007A4FFC"/>
    <w:rsid w:val="007A53C6"/>
    <w:rsid w:val="007A6DC0"/>
    <w:rsid w:val="007A6DFE"/>
    <w:rsid w:val="007A73CB"/>
    <w:rsid w:val="007A7A8C"/>
    <w:rsid w:val="007B1291"/>
    <w:rsid w:val="007B1ED5"/>
    <w:rsid w:val="007B2EAD"/>
    <w:rsid w:val="007B2FFB"/>
    <w:rsid w:val="007B3B40"/>
    <w:rsid w:val="007B3E3C"/>
    <w:rsid w:val="007B3F3D"/>
    <w:rsid w:val="007B41D7"/>
    <w:rsid w:val="007B4804"/>
    <w:rsid w:val="007B5B7E"/>
    <w:rsid w:val="007B5DA1"/>
    <w:rsid w:val="007B6187"/>
    <w:rsid w:val="007B6D98"/>
    <w:rsid w:val="007B7947"/>
    <w:rsid w:val="007B7A93"/>
    <w:rsid w:val="007C069A"/>
    <w:rsid w:val="007C10FB"/>
    <w:rsid w:val="007C2D7A"/>
    <w:rsid w:val="007C50F9"/>
    <w:rsid w:val="007C76FF"/>
    <w:rsid w:val="007C79DC"/>
    <w:rsid w:val="007D0321"/>
    <w:rsid w:val="007D03FE"/>
    <w:rsid w:val="007D0A65"/>
    <w:rsid w:val="007D0C3B"/>
    <w:rsid w:val="007D2AED"/>
    <w:rsid w:val="007D2CCA"/>
    <w:rsid w:val="007D3083"/>
    <w:rsid w:val="007D4558"/>
    <w:rsid w:val="007D58A8"/>
    <w:rsid w:val="007D61A7"/>
    <w:rsid w:val="007D64C1"/>
    <w:rsid w:val="007D66F7"/>
    <w:rsid w:val="007D6CAF"/>
    <w:rsid w:val="007D6EC5"/>
    <w:rsid w:val="007D7477"/>
    <w:rsid w:val="007E0C0F"/>
    <w:rsid w:val="007E0E6A"/>
    <w:rsid w:val="007E1265"/>
    <w:rsid w:val="007E12AA"/>
    <w:rsid w:val="007E1FF8"/>
    <w:rsid w:val="007E28DD"/>
    <w:rsid w:val="007E2D37"/>
    <w:rsid w:val="007E31E2"/>
    <w:rsid w:val="007E4072"/>
    <w:rsid w:val="007E477D"/>
    <w:rsid w:val="007E57EB"/>
    <w:rsid w:val="007E5816"/>
    <w:rsid w:val="007E5D3B"/>
    <w:rsid w:val="007E6AA1"/>
    <w:rsid w:val="007E6BD3"/>
    <w:rsid w:val="007E7ACF"/>
    <w:rsid w:val="007F0741"/>
    <w:rsid w:val="007F0C64"/>
    <w:rsid w:val="007F0F8F"/>
    <w:rsid w:val="007F1C73"/>
    <w:rsid w:val="007F1E76"/>
    <w:rsid w:val="007F24EE"/>
    <w:rsid w:val="007F2EB2"/>
    <w:rsid w:val="007F3271"/>
    <w:rsid w:val="007F4B85"/>
    <w:rsid w:val="007F4E69"/>
    <w:rsid w:val="007F54ED"/>
    <w:rsid w:val="007F61E9"/>
    <w:rsid w:val="007F644E"/>
    <w:rsid w:val="007F6855"/>
    <w:rsid w:val="007F6C68"/>
    <w:rsid w:val="007F6CA6"/>
    <w:rsid w:val="00800910"/>
    <w:rsid w:val="00800CE3"/>
    <w:rsid w:val="00800DAA"/>
    <w:rsid w:val="00801C59"/>
    <w:rsid w:val="00801D69"/>
    <w:rsid w:val="00802BD1"/>
    <w:rsid w:val="00802FE5"/>
    <w:rsid w:val="008046B1"/>
    <w:rsid w:val="00804D61"/>
    <w:rsid w:val="00805DD5"/>
    <w:rsid w:val="0080680E"/>
    <w:rsid w:val="00806D3D"/>
    <w:rsid w:val="0080721F"/>
    <w:rsid w:val="008077F2"/>
    <w:rsid w:val="00807B5B"/>
    <w:rsid w:val="008107B4"/>
    <w:rsid w:val="00810E1A"/>
    <w:rsid w:val="00811F41"/>
    <w:rsid w:val="00812C1F"/>
    <w:rsid w:val="00812D79"/>
    <w:rsid w:val="00813340"/>
    <w:rsid w:val="0081428E"/>
    <w:rsid w:val="008148F8"/>
    <w:rsid w:val="00814CA2"/>
    <w:rsid w:val="00817865"/>
    <w:rsid w:val="00817EC3"/>
    <w:rsid w:val="00820234"/>
    <w:rsid w:val="0082094C"/>
    <w:rsid w:val="008213EA"/>
    <w:rsid w:val="00822355"/>
    <w:rsid w:val="00822384"/>
    <w:rsid w:val="00824877"/>
    <w:rsid w:val="00824B57"/>
    <w:rsid w:val="00826AEC"/>
    <w:rsid w:val="00826C3A"/>
    <w:rsid w:val="00826E0F"/>
    <w:rsid w:val="00827468"/>
    <w:rsid w:val="008274A5"/>
    <w:rsid w:val="00827985"/>
    <w:rsid w:val="00831C97"/>
    <w:rsid w:val="00832109"/>
    <w:rsid w:val="00832606"/>
    <w:rsid w:val="0083337E"/>
    <w:rsid w:val="008334DD"/>
    <w:rsid w:val="00833D7F"/>
    <w:rsid w:val="00834844"/>
    <w:rsid w:val="00834B3B"/>
    <w:rsid w:val="00834BCB"/>
    <w:rsid w:val="00835647"/>
    <w:rsid w:val="00835997"/>
    <w:rsid w:val="008370D9"/>
    <w:rsid w:val="00837DDB"/>
    <w:rsid w:val="008410C6"/>
    <w:rsid w:val="00841F67"/>
    <w:rsid w:val="008420FF"/>
    <w:rsid w:val="00844BFF"/>
    <w:rsid w:val="00844C74"/>
    <w:rsid w:val="00844DFE"/>
    <w:rsid w:val="00845925"/>
    <w:rsid w:val="0084778D"/>
    <w:rsid w:val="00852B3C"/>
    <w:rsid w:val="008532A3"/>
    <w:rsid w:val="00854AE4"/>
    <w:rsid w:val="00854DE1"/>
    <w:rsid w:val="00856BE3"/>
    <w:rsid w:val="00857BEE"/>
    <w:rsid w:val="00860042"/>
    <w:rsid w:val="00860A52"/>
    <w:rsid w:val="00861514"/>
    <w:rsid w:val="00861D84"/>
    <w:rsid w:val="008621FA"/>
    <w:rsid w:val="0086285C"/>
    <w:rsid w:val="00862B4A"/>
    <w:rsid w:val="00864118"/>
    <w:rsid w:val="00864B7A"/>
    <w:rsid w:val="00864DAC"/>
    <w:rsid w:val="00866031"/>
    <w:rsid w:val="00873008"/>
    <w:rsid w:val="008744F5"/>
    <w:rsid w:val="00874B42"/>
    <w:rsid w:val="00874EF6"/>
    <w:rsid w:val="00875404"/>
    <w:rsid w:val="00876007"/>
    <w:rsid w:val="00880486"/>
    <w:rsid w:val="0088121B"/>
    <w:rsid w:val="00881574"/>
    <w:rsid w:val="00881AE7"/>
    <w:rsid w:val="0088222F"/>
    <w:rsid w:val="00883826"/>
    <w:rsid w:val="00884026"/>
    <w:rsid w:val="008844C8"/>
    <w:rsid w:val="00885398"/>
    <w:rsid w:val="00885BAA"/>
    <w:rsid w:val="0088650C"/>
    <w:rsid w:val="00886D58"/>
    <w:rsid w:val="00886E8E"/>
    <w:rsid w:val="00887078"/>
    <w:rsid w:val="0088709F"/>
    <w:rsid w:val="00887306"/>
    <w:rsid w:val="00890A46"/>
    <w:rsid w:val="008911B0"/>
    <w:rsid w:val="008915FD"/>
    <w:rsid w:val="008917DA"/>
    <w:rsid w:val="00891E8E"/>
    <w:rsid w:val="00892217"/>
    <w:rsid w:val="008931FE"/>
    <w:rsid w:val="008944B5"/>
    <w:rsid w:val="00895B39"/>
    <w:rsid w:val="00896202"/>
    <w:rsid w:val="00896FDC"/>
    <w:rsid w:val="008A0074"/>
    <w:rsid w:val="008A0286"/>
    <w:rsid w:val="008A11E3"/>
    <w:rsid w:val="008A1518"/>
    <w:rsid w:val="008A1B7E"/>
    <w:rsid w:val="008A1C29"/>
    <w:rsid w:val="008A250F"/>
    <w:rsid w:val="008A5B7E"/>
    <w:rsid w:val="008A5D48"/>
    <w:rsid w:val="008A60A1"/>
    <w:rsid w:val="008A6FFA"/>
    <w:rsid w:val="008A7384"/>
    <w:rsid w:val="008A7F28"/>
    <w:rsid w:val="008B00F8"/>
    <w:rsid w:val="008B0CDD"/>
    <w:rsid w:val="008B2A10"/>
    <w:rsid w:val="008B2A20"/>
    <w:rsid w:val="008B2A39"/>
    <w:rsid w:val="008B2C30"/>
    <w:rsid w:val="008B32FB"/>
    <w:rsid w:val="008B34E0"/>
    <w:rsid w:val="008B3A83"/>
    <w:rsid w:val="008B45F7"/>
    <w:rsid w:val="008B4C80"/>
    <w:rsid w:val="008B6308"/>
    <w:rsid w:val="008B64F6"/>
    <w:rsid w:val="008B6DE1"/>
    <w:rsid w:val="008B73F9"/>
    <w:rsid w:val="008B79F0"/>
    <w:rsid w:val="008C0557"/>
    <w:rsid w:val="008C17CB"/>
    <w:rsid w:val="008C1EEB"/>
    <w:rsid w:val="008C422C"/>
    <w:rsid w:val="008C4EB7"/>
    <w:rsid w:val="008C6D6E"/>
    <w:rsid w:val="008C6E33"/>
    <w:rsid w:val="008C744B"/>
    <w:rsid w:val="008C74D2"/>
    <w:rsid w:val="008C7950"/>
    <w:rsid w:val="008D06D3"/>
    <w:rsid w:val="008D09B5"/>
    <w:rsid w:val="008D09E8"/>
    <w:rsid w:val="008D1485"/>
    <w:rsid w:val="008D1F5F"/>
    <w:rsid w:val="008D200E"/>
    <w:rsid w:val="008D24E0"/>
    <w:rsid w:val="008D2FEB"/>
    <w:rsid w:val="008D327B"/>
    <w:rsid w:val="008D34DB"/>
    <w:rsid w:val="008D35BF"/>
    <w:rsid w:val="008D41A0"/>
    <w:rsid w:val="008D4EC0"/>
    <w:rsid w:val="008D52FC"/>
    <w:rsid w:val="008D65A2"/>
    <w:rsid w:val="008D7D83"/>
    <w:rsid w:val="008E0569"/>
    <w:rsid w:val="008E2130"/>
    <w:rsid w:val="008E2416"/>
    <w:rsid w:val="008E2966"/>
    <w:rsid w:val="008E3C0F"/>
    <w:rsid w:val="008E4BB8"/>
    <w:rsid w:val="008E4F2A"/>
    <w:rsid w:val="008E59F2"/>
    <w:rsid w:val="008E5A3C"/>
    <w:rsid w:val="008E68B1"/>
    <w:rsid w:val="008E6B93"/>
    <w:rsid w:val="008E74A6"/>
    <w:rsid w:val="008E7C6A"/>
    <w:rsid w:val="008F2445"/>
    <w:rsid w:val="008F245B"/>
    <w:rsid w:val="008F284B"/>
    <w:rsid w:val="008F2DBA"/>
    <w:rsid w:val="008F2E84"/>
    <w:rsid w:val="008F3D14"/>
    <w:rsid w:val="008F46AF"/>
    <w:rsid w:val="008F46B3"/>
    <w:rsid w:val="008F7A1C"/>
    <w:rsid w:val="008F7EF7"/>
    <w:rsid w:val="00900125"/>
    <w:rsid w:val="00901F9E"/>
    <w:rsid w:val="009028E5"/>
    <w:rsid w:val="00903124"/>
    <w:rsid w:val="00903A2C"/>
    <w:rsid w:val="00905449"/>
    <w:rsid w:val="00906F4B"/>
    <w:rsid w:val="00907CE9"/>
    <w:rsid w:val="00910341"/>
    <w:rsid w:val="009104FC"/>
    <w:rsid w:val="009106D9"/>
    <w:rsid w:val="0091266B"/>
    <w:rsid w:val="009138F8"/>
    <w:rsid w:val="00913D5A"/>
    <w:rsid w:val="00915963"/>
    <w:rsid w:val="00915BEE"/>
    <w:rsid w:val="00915FCA"/>
    <w:rsid w:val="00917484"/>
    <w:rsid w:val="00917997"/>
    <w:rsid w:val="00917BF7"/>
    <w:rsid w:val="00917E0C"/>
    <w:rsid w:val="00917FAC"/>
    <w:rsid w:val="009212EC"/>
    <w:rsid w:val="00921591"/>
    <w:rsid w:val="0092175F"/>
    <w:rsid w:val="00922E17"/>
    <w:rsid w:val="00925451"/>
    <w:rsid w:val="00925982"/>
    <w:rsid w:val="00925B4F"/>
    <w:rsid w:val="00925EC0"/>
    <w:rsid w:val="00927F21"/>
    <w:rsid w:val="00930C12"/>
    <w:rsid w:val="00931940"/>
    <w:rsid w:val="00931F2C"/>
    <w:rsid w:val="00932402"/>
    <w:rsid w:val="00932CD6"/>
    <w:rsid w:val="00932F3C"/>
    <w:rsid w:val="009347CA"/>
    <w:rsid w:val="009351B7"/>
    <w:rsid w:val="009355E8"/>
    <w:rsid w:val="00936AEB"/>
    <w:rsid w:val="009370C2"/>
    <w:rsid w:val="00937FDF"/>
    <w:rsid w:val="00941319"/>
    <w:rsid w:val="0094191A"/>
    <w:rsid w:val="0094192E"/>
    <w:rsid w:val="009419BA"/>
    <w:rsid w:val="00942280"/>
    <w:rsid w:val="009426E8"/>
    <w:rsid w:val="00943B54"/>
    <w:rsid w:val="00943FF0"/>
    <w:rsid w:val="00944E80"/>
    <w:rsid w:val="00945291"/>
    <w:rsid w:val="009456E9"/>
    <w:rsid w:val="00950C19"/>
    <w:rsid w:val="00951606"/>
    <w:rsid w:val="0095217F"/>
    <w:rsid w:val="009530C7"/>
    <w:rsid w:val="0095664C"/>
    <w:rsid w:val="00956AB0"/>
    <w:rsid w:val="00956FFB"/>
    <w:rsid w:val="00957942"/>
    <w:rsid w:val="00960790"/>
    <w:rsid w:val="00961372"/>
    <w:rsid w:val="0096258C"/>
    <w:rsid w:val="009632FC"/>
    <w:rsid w:val="00963F0D"/>
    <w:rsid w:val="00964336"/>
    <w:rsid w:val="00965002"/>
    <w:rsid w:val="009654F4"/>
    <w:rsid w:val="009655E3"/>
    <w:rsid w:val="009661CD"/>
    <w:rsid w:val="00966681"/>
    <w:rsid w:val="009669B3"/>
    <w:rsid w:val="00967A44"/>
    <w:rsid w:val="00967D55"/>
    <w:rsid w:val="00970A71"/>
    <w:rsid w:val="00970E0C"/>
    <w:rsid w:val="00970FF9"/>
    <w:rsid w:val="00971445"/>
    <w:rsid w:val="00971EAE"/>
    <w:rsid w:val="009752EC"/>
    <w:rsid w:val="00975F5E"/>
    <w:rsid w:val="00981356"/>
    <w:rsid w:val="00981D68"/>
    <w:rsid w:val="00982785"/>
    <w:rsid w:val="00982DD4"/>
    <w:rsid w:val="0098331A"/>
    <w:rsid w:val="009837D0"/>
    <w:rsid w:val="0098447D"/>
    <w:rsid w:val="009844E7"/>
    <w:rsid w:val="009848A6"/>
    <w:rsid w:val="00985431"/>
    <w:rsid w:val="00987782"/>
    <w:rsid w:val="00990F9E"/>
    <w:rsid w:val="009914AA"/>
    <w:rsid w:val="009914CA"/>
    <w:rsid w:val="00991CD0"/>
    <w:rsid w:val="00992720"/>
    <w:rsid w:val="009940F7"/>
    <w:rsid w:val="009951EE"/>
    <w:rsid w:val="0099701B"/>
    <w:rsid w:val="00997205"/>
    <w:rsid w:val="00997238"/>
    <w:rsid w:val="009A0944"/>
    <w:rsid w:val="009A1A77"/>
    <w:rsid w:val="009A33EF"/>
    <w:rsid w:val="009A3825"/>
    <w:rsid w:val="009A3D8B"/>
    <w:rsid w:val="009A4C5F"/>
    <w:rsid w:val="009A5BE4"/>
    <w:rsid w:val="009A61D0"/>
    <w:rsid w:val="009A6749"/>
    <w:rsid w:val="009A7343"/>
    <w:rsid w:val="009B014F"/>
    <w:rsid w:val="009B15C0"/>
    <w:rsid w:val="009B1C68"/>
    <w:rsid w:val="009B2382"/>
    <w:rsid w:val="009B4A4C"/>
    <w:rsid w:val="009B5829"/>
    <w:rsid w:val="009B5FE3"/>
    <w:rsid w:val="009B61C0"/>
    <w:rsid w:val="009C297A"/>
    <w:rsid w:val="009C2DB1"/>
    <w:rsid w:val="009C307E"/>
    <w:rsid w:val="009C39AC"/>
    <w:rsid w:val="009C470A"/>
    <w:rsid w:val="009C4DF3"/>
    <w:rsid w:val="009C5A0C"/>
    <w:rsid w:val="009C6EE1"/>
    <w:rsid w:val="009C7259"/>
    <w:rsid w:val="009C732B"/>
    <w:rsid w:val="009C7FFD"/>
    <w:rsid w:val="009D0FB2"/>
    <w:rsid w:val="009D2DAC"/>
    <w:rsid w:val="009D3F1E"/>
    <w:rsid w:val="009D427F"/>
    <w:rsid w:val="009D464A"/>
    <w:rsid w:val="009D4ACE"/>
    <w:rsid w:val="009D59E7"/>
    <w:rsid w:val="009D65CF"/>
    <w:rsid w:val="009D68CD"/>
    <w:rsid w:val="009E00E2"/>
    <w:rsid w:val="009E0426"/>
    <w:rsid w:val="009E056C"/>
    <w:rsid w:val="009E13F1"/>
    <w:rsid w:val="009E16D6"/>
    <w:rsid w:val="009E2261"/>
    <w:rsid w:val="009E2FB6"/>
    <w:rsid w:val="009E3AAD"/>
    <w:rsid w:val="009E3FC1"/>
    <w:rsid w:val="009E4448"/>
    <w:rsid w:val="009E4951"/>
    <w:rsid w:val="009E5D8C"/>
    <w:rsid w:val="009E6108"/>
    <w:rsid w:val="009E7A26"/>
    <w:rsid w:val="009F1158"/>
    <w:rsid w:val="009F2AB8"/>
    <w:rsid w:val="009F3365"/>
    <w:rsid w:val="009F625E"/>
    <w:rsid w:val="009F6BD0"/>
    <w:rsid w:val="009F7F95"/>
    <w:rsid w:val="00A00579"/>
    <w:rsid w:val="00A00D7C"/>
    <w:rsid w:val="00A02139"/>
    <w:rsid w:val="00A02F8B"/>
    <w:rsid w:val="00A034AC"/>
    <w:rsid w:val="00A03883"/>
    <w:rsid w:val="00A03C4C"/>
    <w:rsid w:val="00A03FCB"/>
    <w:rsid w:val="00A04163"/>
    <w:rsid w:val="00A04C13"/>
    <w:rsid w:val="00A0506F"/>
    <w:rsid w:val="00A06185"/>
    <w:rsid w:val="00A062F7"/>
    <w:rsid w:val="00A07103"/>
    <w:rsid w:val="00A10A03"/>
    <w:rsid w:val="00A11097"/>
    <w:rsid w:val="00A11810"/>
    <w:rsid w:val="00A11ED7"/>
    <w:rsid w:val="00A124EF"/>
    <w:rsid w:val="00A125B3"/>
    <w:rsid w:val="00A14178"/>
    <w:rsid w:val="00A15001"/>
    <w:rsid w:val="00A1508E"/>
    <w:rsid w:val="00A151B1"/>
    <w:rsid w:val="00A15458"/>
    <w:rsid w:val="00A155E3"/>
    <w:rsid w:val="00A161D6"/>
    <w:rsid w:val="00A168F4"/>
    <w:rsid w:val="00A2004A"/>
    <w:rsid w:val="00A20BE4"/>
    <w:rsid w:val="00A218CC"/>
    <w:rsid w:val="00A21B50"/>
    <w:rsid w:val="00A21FCB"/>
    <w:rsid w:val="00A22C52"/>
    <w:rsid w:val="00A23A7A"/>
    <w:rsid w:val="00A249F0"/>
    <w:rsid w:val="00A24C1F"/>
    <w:rsid w:val="00A25521"/>
    <w:rsid w:val="00A25C98"/>
    <w:rsid w:val="00A27707"/>
    <w:rsid w:val="00A27905"/>
    <w:rsid w:val="00A333C4"/>
    <w:rsid w:val="00A33E63"/>
    <w:rsid w:val="00A33EDF"/>
    <w:rsid w:val="00A34ADA"/>
    <w:rsid w:val="00A35D8E"/>
    <w:rsid w:val="00A35EF6"/>
    <w:rsid w:val="00A35F30"/>
    <w:rsid w:val="00A36631"/>
    <w:rsid w:val="00A4030A"/>
    <w:rsid w:val="00A41B10"/>
    <w:rsid w:val="00A42E8C"/>
    <w:rsid w:val="00A4376B"/>
    <w:rsid w:val="00A43E5D"/>
    <w:rsid w:val="00A45D2A"/>
    <w:rsid w:val="00A45F87"/>
    <w:rsid w:val="00A45FA5"/>
    <w:rsid w:val="00A464C4"/>
    <w:rsid w:val="00A469FE"/>
    <w:rsid w:val="00A471AA"/>
    <w:rsid w:val="00A477F5"/>
    <w:rsid w:val="00A50479"/>
    <w:rsid w:val="00A50667"/>
    <w:rsid w:val="00A51EB1"/>
    <w:rsid w:val="00A51FB4"/>
    <w:rsid w:val="00A5374F"/>
    <w:rsid w:val="00A53D41"/>
    <w:rsid w:val="00A54613"/>
    <w:rsid w:val="00A5478E"/>
    <w:rsid w:val="00A55175"/>
    <w:rsid w:val="00A558C9"/>
    <w:rsid w:val="00A56602"/>
    <w:rsid w:val="00A56663"/>
    <w:rsid w:val="00A56788"/>
    <w:rsid w:val="00A57835"/>
    <w:rsid w:val="00A61DAB"/>
    <w:rsid w:val="00A61EAA"/>
    <w:rsid w:val="00A6263A"/>
    <w:rsid w:val="00A6621A"/>
    <w:rsid w:val="00A66E94"/>
    <w:rsid w:val="00A71FA9"/>
    <w:rsid w:val="00A7214A"/>
    <w:rsid w:val="00A72E22"/>
    <w:rsid w:val="00A730C0"/>
    <w:rsid w:val="00A732A3"/>
    <w:rsid w:val="00A73881"/>
    <w:rsid w:val="00A76D1A"/>
    <w:rsid w:val="00A80035"/>
    <w:rsid w:val="00A80AD5"/>
    <w:rsid w:val="00A80C25"/>
    <w:rsid w:val="00A814A8"/>
    <w:rsid w:val="00A81D55"/>
    <w:rsid w:val="00A823C7"/>
    <w:rsid w:val="00A82A08"/>
    <w:rsid w:val="00A82D82"/>
    <w:rsid w:val="00A8336C"/>
    <w:rsid w:val="00A847B5"/>
    <w:rsid w:val="00A8531A"/>
    <w:rsid w:val="00A859A2"/>
    <w:rsid w:val="00A85AE7"/>
    <w:rsid w:val="00A86094"/>
    <w:rsid w:val="00A86541"/>
    <w:rsid w:val="00A8732D"/>
    <w:rsid w:val="00A875A0"/>
    <w:rsid w:val="00A87986"/>
    <w:rsid w:val="00A87DDD"/>
    <w:rsid w:val="00A87EC2"/>
    <w:rsid w:val="00A9275C"/>
    <w:rsid w:val="00A93F65"/>
    <w:rsid w:val="00A970B1"/>
    <w:rsid w:val="00A97FCB"/>
    <w:rsid w:val="00AA0103"/>
    <w:rsid w:val="00AA1391"/>
    <w:rsid w:val="00AA1B36"/>
    <w:rsid w:val="00AA1DF2"/>
    <w:rsid w:val="00AA2F3A"/>
    <w:rsid w:val="00AA3B2A"/>
    <w:rsid w:val="00AA4229"/>
    <w:rsid w:val="00AA5290"/>
    <w:rsid w:val="00AA63CB"/>
    <w:rsid w:val="00AA6420"/>
    <w:rsid w:val="00AA7468"/>
    <w:rsid w:val="00AA7C06"/>
    <w:rsid w:val="00AA7E20"/>
    <w:rsid w:val="00AB0499"/>
    <w:rsid w:val="00AB0E32"/>
    <w:rsid w:val="00AB2906"/>
    <w:rsid w:val="00AB2FBD"/>
    <w:rsid w:val="00AB3197"/>
    <w:rsid w:val="00AB3F2A"/>
    <w:rsid w:val="00AB416D"/>
    <w:rsid w:val="00AB57B2"/>
    <w:rsid w:val="00AB63FA"/>
    <w:rsid w:val="00AB650A"/>
    <w:rsid w:val="00AB650B"/>
    <w:rsid w:val="00AB67EA"/>
    <w:rsid w:val="00AB686F"/>
    <w:rsid w:val="00AC08FA"/>
    <w:rsid w:val="00AC0A9B"/>
    <w:rsid w:val="00AC1308"/>
    <w:rsid w:val="00AC2079"/>
    <w:rsid w:val="00AC575F"/>
    <w:rsid w:val="00AC592D"/>
    <w:rsid w:val="00AC59EE"/>
    <w:rsid w:val="00AC5D13"/>
    <w:rsid w:val="00AC700B"/>
    <w:rsid w:val="00AC71D2"/>
    <w:rsid w:val="00AC7468"/>
    <w:rsid w:val="00AC74D0"/>
    <w:rsid w:val="00AC76C5"/>
    <w:rsid w:val="00AD0F05"/>
    <w:rsid w:val="00AD1520"/>
    <w:rsid w:val="00AD1AFE"/>
    <w:rsid w:val="00AD2405"/>
    <w:rsid w:val="00AD3F42"/>
    <w:rsid w:val="00AD409C"/>
    <w:rsid w:val="00AD5070"/>
    <w:rsid w:val="00AD6ADD"/>
    <w:rsid w:val="00AD77AD"/>
    <w:rsid w:val="00AE0785"/>
    <w:rsid w:val="00AE0E67"/>
    <w:rsid w:val="00AE1761"/>
    <w:rsid w:val="00AE1CB8"/>
    <w:rsid w:val="00AE278A"/>
    <w:rsid w:val="00AE2890"/>
    <w:rsid w:val="00AE2C19"/>
    <w:rsid w:val="00AE4695"/>
    <w:rsid w:val="00AE4EA4"/>
    <w:rsid w:val="00AE7DDB"/>
    <w:rsid w:val="00AE7EB9"/>
    <w:rsid w:val="00AF137B"/>
    <w:rsid w:val="00AF14C0"/>
    <w:rsid w:val="00AF2DD8"/>
    <w:rsid w:val="00AF3240"/>
    <w:rsid w:val="00AF3710"/>
    <w:rsid w:val="00AF37A7"/>
    <w:rsid w:val="00AF3DAE"/>
    <w:rsid w:val="00AF3ED9"/>
    <w:rsid w:val="00AF3FAD"/>
    <w:rsid w:val="00AF44CF"/>
    <w:rsid w:val="00AF716C"/>
    <w:rsid w:val="00AF796A"/>
    <w:rsid w:val="00B011FD"/>
    <w:rsid w:val="00B01C68"/>
    <w:rsid w:val="00B01D62"/>
    <w:rsid w:val="00B02C8A"/>
    <w:rsid w:val="00B03020"/>
    <w:rsid w:val="00B03311"/>
    <w:rsid w:val="00B034D3"/>
    <w:rsid w:val="00B03AB8"/>
    <w:rsid w:val="00B04DF3"/>
    <w:rsid w:val="00B05188"/>
    <w:rsid w:val="00B05537"/>
    <w:rsid w:val="00B0605D"/>
    <w:rsid w:val="00B065AC"/>
    <w:rsid w:val="00B06E98"/>
    <w:rsid w:val="00B06FB9"/>
    <w:rsid w:val="00B10EC4"/>
    <w:rsid w:val="00B11DD4"/>
    <w:rsid w:val="00B124A6"/>
    <w:rsid w:val="00B128A7"/>
    <w:rsid w:val="00B129C5"/>
    <w:rsid w:val="00B12AAD"/>
    <w:rsid w:val="00B12B8D"/>
    <w:rsid w:val="00B12E92"/>
    <w:rsid w:val="00B131D2"/>
    <w:rsid w:val="00B1360A"/>
    <w:rsid w:val="00B15E56"/>
    <w:rsid w:val="00B1643B"/>
    <w:rsid w:val="00B17165"/>
    <w:rsid w:val="00B203CF"/>
    <w:rsid w:val="00B206A4"/>
    <w:rsid w:val="00B22801"/>
    <w:rsid w:val="00B22AFA"/>
    <w:rsid w:val="00B230B4"/>
    <w:rsid w:val="00B23912"/>
    <w:rsid w:val="00B244B8"/>
    <w:rsid w:val="00B24FF8"/>
    <w:rsid w:val="00B25CE9"/>
    <w:rsid w:val="00B26316"/>
    <w:rsid w:val="00B2653D"/>
    <w:rsid w:val="00B2669C"/>
    <w:rsid w:val="00B27787"/>
    <w:rsid w:val="00B3038A"/>
    <w:rsid w:val="00B30884"/>
    <w:rsid w:val="00B328D7"/>
    <w:rsid w:val="00B33B16"/>
    <w:rsid w:val="00B35BA7"/>
    <w:rsid w:val="00B36337"/>
    <w:rsid w:val="00B37BF6"/>
    <w:rsid w:val="00B401CC"/>
    <w:rsid w:val="00B40920"/>
    <w:rsid w:val="00B40D94"/>
    <w:rsid w:val="00B421AC"/>
    <w:rsid w:val="00B42B82"/>
    <w:rsid w:val="00B43946"/>
    <w:rsid w:val="00B46070"/>
    <w:rsid w:val="00B47047"/>
    <w:rsid w:val="00B517EE"/>
    <w:rsid w:val="00B52AA1"/>
    <w:rsid w:val="00B52B1B"/>
    <w:rsid w:val="00B540D1"/>
    <w:rsid w:val="00B54485"/>
    <w:rsid w:val="00B552F9"/>
    <w:rsid w:val="00B5567D"/>
    <w:rsid w:val="00B568EA"/>
    <w:rsid w:val="00B56902"/>
    <w:rsid w:val="00B57F5F"/>
    <w:rsid w:val="00B60564"/>
    <w:rsid w:val="00B6197D"/>
    <w:rsid w:val="00B61ACF"/>
    <w:rsid w:val="00B61FCC"/>
    <w:rsid w:val="00B62A7B"/>
    <w:rsid w:val="00B63065"/>
    <w:rsid w:val="00B6419A"/>
    <w:rsid w:val="00B6781E"/>
    <w:rsid w:val="00B67BFB"/>
    <w:rsid w:val="00B700F3"/>
    <w:rsid w:val="00B71275"/>
    <w:rsid w:val="00B722A9"/>
    <w:rsid w:val="00B74CF2"/>
    <w:rsid w:val="00B75B72"/>
    <w:rsid w:val="00B7628E"/>
    <w:rsid w:val="00B76473"/>
    <w:rsid w:val="00B766E3"/>
    <w:rsid w:val="00B770AA"/>
    <w:rsid w:val="00B770CD"/>
    <w:rsid w:val="00B77D08"/>
    <w:rsid w:val="00B77F15"/>
    <w:rsid w:val="00B82C79"/>
    <w:rsid w:val="00B84A25"/>
    <w:rsid w:val="00B86023"/>
    <w:rsid w:val="00B8745A"/>
    <w:rsid w:val="00B87860"/>
    <w:rsid w:val="00B903C3"/>
    <w:rsid w:val="00B904F0"/>
    <w:rsid w:val="00B90809"/>
    <w:rsid w:val="00B93749"/>
    <w:rsid w:val="00B942C1"/>
    <w:rsid w:val="00B95021"/>
    <w:rsid w:val="00B97EF5"/>
    <w:rsid w:val="00BA0790"/>
    <w:rsid w:val="00BA2522"/>
    <w:rsid w:val="00BA3055"/>
    <w:rsid w:val="00BA3BF4"/>
    <w:rsid w:val="00BA4BE6"/>
    <w:rsid w:val="00BA51C7"/>
    <w:rsid w:val="00BA689F"/>
    <w:rsid w:val="00BA6FEB"/>
    <w:rsid w:val="00BA7124"/>
    <w:rsid w:val="00BA7435"/>
    <w:rsid w:val="00BA7B36"/>
    <w:rsid w:val="00BB0605"/>
    <w:rsid w:val="00BB0FEB"/>
    <w:rsid w:val="00BB24D4"/>
    <w:rsid w:val="00BB3144"/>
    <w:rsid w:val="00BB3B8D"/>
    <w:rsid w:val="00BB44BA"/>
    <w:rsid w:val="00BB5226"/>
    <w:rsid w:val="00BB5255"/>
    <w:rsid w:val="00BB6242"/>
    <w:rsid w:val="00BB6359"/>
    <w:rsid w:val="00BB65A9"/>
    <w:rsid w:val="00BB6B0F"/>
    <w:rsid w:val="00BB6F48"/>
    <w:rsid w:val="00BB7588"/>
    <w:rsid w:val="00BC0CCA"/>
    <w:rsid w:val="00BC0DB1"/>
    <w:rsid w:val="00BC0E35"/>
    <w:rsid w:val="00BC18C3"/>
    <w:rsid w:val="00BC1E8B"/>
    <w:rsid w:val="00BC2C08"/>
    <w:rsid w:val="00BC2D57"/>
    <w:rsid w:val="00BC2F7D"/>
    <w:rsid w:val="00BC3AF4"/>
    <w:rsid w:val="00BC3FE7"/>
    <w:rsid w:val="00BC69EA"/>
    <w:rsid w:val="00BD00F0"/>
    <w:rsid w:val="00BD1500"/>
    <w:rsid w:val="00BD2221"/>
    <w:rsid w:val="00BD2279"/>
    <w:rsid w:val="00BD376C"/>
    <w:rsid w:val="00BD3F3C"/>
    <w:rsid w:val="00BD5692"/>
    <w:rsid w:val="00BE02E9"/>
    <w:rsid w:val="00BE1359"/>
    <w:rsid w:val="00BE1A6A"/>
    <w:rsid w:val="00BE2E12"/>
    <w:rsid w:val="00BE5213"/>
    <w:rsid w:val="00BE5754"/>
    <w:rsid w:val="00BE59EA"/>
    <w:rsid w:val="00BE7240"/>
    <w:rsid w:val="00BF1D25"/>
    <w:rsid w:val="00BF1F6C"/>
    <w:rsid w:val="00BF521C"/>
    <w:rsid w:val="00BF5230"/>
    <w:rsid w:val="00BF5843"/>
    <w:rsid w:val="00BF6B14"/>
    <w:rsid w:val="00BF762D"/>
    <w:rsid w:val="00C008AD"/>
    <w:rsid w:val="00C00D62"/>
    <w:rsid w:val="00C00E35"/>
    <w:rsid w:val="00C01666"/>
    <w:rsid w:val="00C02CCC"/>
    <w:rsid w:val="00C04339"/>
    <w:rsid w:val="00C058A9"/>
    <w:rsid w:val="00C05924"/>
    <w:rsid w:val="00C06A36"/>
    <w:rsid w:val="00C06CC1"/>
    <w:rsid w:val="00C070C1"/>
    <w:rsid w:val="00C079BB"/>
    <w:rsid w:val="00C11329"/>
    <w:rsid w:val="00C1145E"/>
    <w:rsid w:val="00C117E9"/>
    <w:rsid w:val="00C11FA6"/>
    <w:rsid w:val="00C1214D"/>
    <w:rsid w:val="00C12248"/>
    <w:rsid w:val="00C12931"/>
    <w:rsid w:val="00C12FED"/>
    <w:rsid w:val="00C149BA"/>
    <w:rsid w:val="00C14DA6"/>
    <w:rsid w:val="00C15053"/>
    <w:rsid w:val="00C159F6"/>
    <w:rsid w:val="00C1605B"/>
    <w:rsid w:val="00C1648B"/>
    <w:rsid w:val="00C170F9"/>
    <w:rsid w:val="00C21B10"/>
    <w:rsid w:val="00C233B2"/>
    <w:rsid w:val="00C23F08"/>
    <w:rsid w:val="00C240E4"/>
    <w:rsid w:val="00C24158"/>
    <w:rsid w:val="00C2482C"/>
    <w:rsid w:val="00C24B09"/>
    <w:rsid w:val="00C25900"/>
    <w:rsid w:val="00C25996"/>
    <w:rsid w:val="00C26105"/>
    <w:rsid w:val="00C31803"/>
    <w:rsid w:val="00C33101"/>
    <w:rsid w:val="00C33135"/>
    <w:rsid w:val="00C332BB"/>
    <w:rsid w:val="00C33513"/>
    <w:rsid w:val="00C342FE"/>
    <w:rsid w:val="00C347A2"/>
    <w:rsid w:val="00C349A9"/>
    <w:rsid w:val="00C35B3F"/>
    <w:rsid w:val="00C3638E"/>
    <w:rsid w:val="00C3642E"/>
    <w:rsid w:val="00C36618"/>
    <w:rsid w:val="00C40BAA"/>
    <w:rsid w:val="00C414D6"/>
    <w:rsid w:val="00C41C3E"/>
    <w:rsid w:val="00C41D5F"/>
    <w:rsid w:val="00C42505"/>
    <w:rsid w:val="00C44416"/>
    <w:rsid w:val="00C45879"/>
    <w:rsid w:val="00C510F1"/>
    <w:rsid w:val="00C51F80"/>
    <w:rsid w:val="00C52132"/>
    <w:rsid w:val="00C525B2"/>
    <w:rsid w:val="00C5280A"/>
    <w:rsid w:val="00C52D6F"/>
    <w:rsid w:val="00C539AC"/>
    <w:rsid w:val="00C5441F"/>
    <w:rsid w:val="00C546ED"/>
    <w:rsid w:val="00C552BA"/>
    <w:rsid w:val="00C55897"/>
    <w:rsid w:val="00C564EE"/>
    <w:rsid w:val="00C56751"/>
    <w:rsid w:val="00C57077"/>
    <w:rsid w:val="00C645FA"/>
    <w:rsid w:val="00C662B0"/>
    <w:rsid w:val="00C66311"/>
    <w:rsid w:val="00C66AA0"/>
    <w:rsid w:val="00C672A1"/>
    <w:rsid w:val="00C70BC6"/>
    <w:rsid w:val="00C71296"/>
    <w:rsid w:val="00C71622"/>
    <w:rsid w:val="00C7210F"/>
    <w:rsid w:val="00C72759"/>
    <w:rsid w:val="00C72BEB"/>
    <w:rsid w:val="00C740E4"/>
    <w:rsid w:val="00C7422B"/>
    <w:rsid w:val="00C7474F"/>
    <w:rsid w:val="00C74766"/>
    <w:rsid w:val="00C75536"/>
    <w:rsid w:val="00C80613"/>
    <w:rsid w:val="00C81441"/>
    <w:rsid w:val="00C82E37"/>
    <w:rsid w:val="00C83649"/>
    <w:rsid w:val="00C84618"/>
    <w:rsid w:val="00C84E13"/>
    <w:rsid w:val="00C84F0C"/>
    <w:rsid w:val="00C859EB"/>
    <w:rsid w:val="00C87304"/>
    <w:rsid w:val="00C9131B"/>
    <w:rsid w:val="00C91920"/>
    <w:rsid w:val="00C91D1D"/>
    <w:rsid w:val="00C92173"/>
    <w:rsid w:val="00C92335"/>
    <w:rsid w:val="00C93967"/>
    <w:rsid w:val="00C946F3"/>
    <w:rsid w:val="00C95164"/>
    <w:rsid w:val="00C9525F"/>
    <w:rsid w:val="00C953CA"/>
    <w:rsid w:val="00C96A27"/>
    <w:rsid w:val="00CA0C79"/>
    <w:rsid w:val="00CA1107"/>
    <w:rsid w:val="00CA1859"/>
    <w:rsid w:val="00CA3822"/>
    <w:rsid w:val="00CA4406"/>
    <w:rsid w:val="00CA4986"/>
    <w:rsid w:val="00CA4DB6"/>
    <w:rsid w:val="00CB04D6"/>
    <w:rsid w:val="00CB05FA"/>
    <w:rsid w:val="00CB15FB"/>
    <w:rsid w:val="00CB1EF5"/>
    <w:rsid w:val="00CB4841"/>
    <w:rsid w:val="00CB4EB7"/>
    <w:rsid w:val="00CB5004"/>
    <w:rsid w:val="00CB5B13"/>
    <w:rsid w:val="00CB736F"/>
    <w:rsid w:val="00CC0533"/>
    <w:rsid w:val="00CC2ABB"/>
    <w:rsid w:val="00CC3135"/>
    <w:rsid w:val="00CC3E56"/>
    <w:rsid w:val="00CC453F"/>
    <w:rsid w:val="00CC5959"/>
    <w:rsid w:val="00CC71BD"/>
    <w:rsid w:val="00CC76C5"/>
    <w:rsid w:val="00CC7E28"/>
    <w:rsid w:val="00CD0071"/>
    <w:rsid w:val="00CD0362"/>
    <w:rsid w:val="00CD1AE4"/>
    <w:rsid w:val="00CD1FEE"/>
    <w:rsid w:val="00CD2215"/>
    <w:rsid w:val="00CD2942"/>
    <w:rsid w:val="00CD39AA"/>
    <w:rsid w:val="00CD3ABA"/>
    <w:rsid w:val="00CD3B54"/>
    <w:rsid w:val="00CD3EEE"/>
    <w:rsid w:val="00CD468B"/>
    <w:rsid w:val="00CD5411"/>
    <w:rsid w:val="00CD5883"/>
    <w:rsid w:val="00CD593F"/>
    <w:rsid w:val="00CD629D"/>
    <w:rsid w:val="00CE0604"/>
    <w:rsid w:val="00CE116B"/>
    <w:rsid w:val="00CE3073"/>
    <w:rsid w:val="00CE3091"/>
    <w:rsid w:val="00CE34ED"/>
    <w:rsid w:val="00CE3C25"/>
    <w:rsid w:val="00CE4311"/>
    <w:rsid w:val="00CE4374"/>
    <w:rsid w:val="00CE6223"/>
    <w:rsid w:val="00CE648D"/>
    <w:rsid w:val="00CE68FA"/>
    <w:rsid w:val="00CE6F72"/>
    <w:rsid w:val="00CF0794"/>
    <w:rsid w:val="00CF08D1"/>
    <w:rsid w:val="00CF158A"/>
    <w:rsid w:val="00CF18E8"/>
    <w:rsid w:val="00CF1D8A"/>
    <w:rsid w:val="00CF202B"/>
    <w:rsid w:val="00CF2EC0"/>
    <w:rsid w:val="00CF37F8"/>
    <w:rsid w:val="00CF3E45"/>
    <w:rsid w:val="00CF4029"/>
    <w:rsid w:val="00CF6867"/>
    <w:rsid w:val="00CF7655"/>
    <w:rsid w:val="00CF7DAA"/>
    <w:rsid w:val="00D03675"/>
    <w:rsid w:val="00D03B09"/>
    <w:rsid w:val="00D053EF"/>
    <w:rsid w:val="00D05A64"/>
    <w:rsid w:val="00D06959"/>
    <w:rsid w:val="00D072AD"/>
    <w:rsid w:val="00D07BA1"/>
    <w:rsid w:val="00D103D9"/>
    <w:rsid w:val="00D10F57"/>
    <w:rsid w:val="00D116ED"/>
    <w:rsid w:val="00D11DAE"/>
    <w:rsid w:val="00D14BBB"/>
    <w:rsid w:val="00D17110"/>
    <w:rsid w:val="00D17E83"/>
    <w:rsid w:val="00D2025E"/>
    <w:rsid w:val="00D21DC3"/>
    <w:rsid w:val="00D2375E"/>
    <w:rsid w:val="00D241BE"/>
    <w:rsid w:val="00D24F93"/>
    <w:rsid w:val="00D25365"/>
    <w:rsid w:val="00D25964"/>
    <w:rsid w:val="00D272AA"/>
    <w:rsid w:val="00D2774C"/>
    <w:rsid w:val="00D3020B"/>
    <w:rsid w:val="00D30BE8"/>
    <w:rsid w:val="00D31C0F"/>
    <w:rsid w:val="00D34446"/>
    <w:rsid w:val="00D348F1"/>
    <w:rsid w:val="00D34BC0"/>
    <w:rsid w:val="00D3523D"/>
    <w:rsid w:val="00D361F3"/>
    <w:rsid w:val="00D37A3F"/>
    <w:rsid w:val="00D41D4C"/>
    <w:rsid w:val="00D41FEF"/>
    <w:rsid w:val="00D42236"/>
    <w:rsid w:val="00D436D3"/>
    <w:rsid w:val="00D43F1F"/>
    <w:rsid w:val="00D4417A"/>
    <w:rsid w:val="00D443BA"/>
    <w:rsid w:val="00D44D1C"/>
    <w:rsid w:val="00D45010"/>
    <w:rsid w:val="00D51655"/>
    <w:rsid w:val="00D52640"/>
    <w:rsid w:val="00D52F3D"/>
    <w:rsid w:val="00D544E7"/>
    <w:rsid w:val="00D54F2A"/>
    <w:rsid w:val="00D56E22"/>
    <w:rsid w:val="00D57451"/>
    <w:rsid w:val="00D575BB"/>
    <w:rsid w:val="00D6073C"/>
    <w:rsid w:val="00D60A92"/>
    <w:rsid w:val="00D60B3F"/>
    <w:rsid w:val="00D61B7B"/>
    <w:rsid w:val="00D62275"/>
    <w:rsid w:val="00D629C2"/>
    <w:rsid w:val="00D6372D"/>
    <w:rsid w:val="00D63796"/>
    <w:rsid w:val="00D63C9D"/>
    <w:rsid w:val="00D65473"/>
    <w:rsid w:val="00D661E8"/>
    <w:rsid w:val="00D6658B"/>
    <w:rsid w:val="00D667E7"/>
    <w:rsid w:val="00D66BB6"/>
    <w:rsid w:val="00D66F11"/>
    <w:rsid w:val="00D671A5"/>
    <w:rsid w:val="00D67933"/>
    <w:rsid w:val="00D67A3F"/>
    <w:rsid w:val="00D67BEC"/>
    <w:rsid w:val="00D7156D"/>
    <w:rsid w:val="00D71581"/>
    <w:rsid w:val="00D71893"/>
    <w:rsid w:val="00D7199E"/>
    <w:rsid w:val="00D71B82"/>
    <w:rsid w:val="00D71C06"/>
    <w:rsid w:val="00D72618"/>
    <w:rsid w:val="00D72A4C"/>
    <w:rsid w:val="00D73939"/>
    <w:rsid w:val="00D740B1"/>
    <w:rsid w:val="00D7600D"/>
    <w:rsid w:val="00D7765A"/>
    <w:rsid w:val="00D77D97"/>
    <w:rsid w:val="00D77E5D"/>
    <w:rsid w:val="00D80E2D"/>
    <w:rsid w:val="00D810BF"/>
    <w:rsid w:val="00D818D1"/>
    <w:rsid w:val="00D82E87"/>
    <w:rsid w:val="00D83032"/>
    <w:rsid w:val="00D842D8"/>
    <w:rsid w:val="00D85159"/>
    <w:rsid w:val="00D85678"/>
    <w:rsid w:val="00D86414"/>
    <w:rsid w:val="00D87E45"/>
    <w:rsid w:val="00D90064"/>
    <w:rsid w:val="00D911BF"/>
    <w:rsid w:val="00D92239"/>
    <w:rsid w:val="00D9286F"/>
    <w:rsid w:val="00D950D7"/>
    <w:rsid w:val="00D9553B"/>
    <w:rsid w:val="00D95C03"/>
    <w:rsid w:val="00D95DEB"/>
    <w:rsid w:val="00D961D9"/>
    <w:rsid w:val="00D969A0"/>
    <w:rsid w:val="00D97A02"/>
    <w:rsid w:val="00DA1433"/>
    <w:rsid w:val="00DA16FF"/>
    <w:rsid w:val="00DA2960"/>
    <w:rsid w:val="00DA2A75"/>
    <w:rsid w:val="00DA328D"/>
    <w:rsid w:val="00DA42A6"/>
    <w:rsid w:val="00DA5610"/>
    <w:rsid w:val="00DA5611"/>
    <w:rsid w:val="00DA5722"/>
    <w:rsid w:val="00DA70D2"/>
    <w:rsid w:val="00DA7DC6"/>
    <w:rsid w:val="00DB0291"/>
    <w:rsid w:val="00DB211A"/>
    <w:rsid w:val="00DB22BA"/>
    <w:rsid w:val="00DB3B5B"/>
    <w:rsid w:val="00DB7B68"/>
    <w:rsid w:val="00DC0F37"/>
    <w:rsid w:val="00DC1ECA"/>
    <w:rsid w:val="00DC1ED5"/>
    <w:rsid w:val="00DC2438"/>
    <w:rsid w:val="00DC2BB5"/>
    <w:rsid w:val="00DC47AF"/>
    <w:rsid w:val="00DC5029"/>
    <w:rsid w:val="00DC5245"/>
    <w:rsid w:val="00DC58E2"/>
    <w:rsid w:val="00DC78A5"/>
    <w:rsid w:val="00DD35AE"/>
    <w:rsid w:val="00DD39D8"/>
    <w:rsid w:val="00DD3F8B"/>
    <w:rsid w:val="00DD4210"/>
    <w:rsid w:val="00DD52B0"/>
    <w:rsid w:val="00DD53FE"/>
    <w:rsid w:val="00DD575A"/>
    <w:rsid w:val="00DD5B2A"/>
    <w:rsid w:val="00DD5D59"/>
    <w:rsid w:val="00DD6FB2"/>
    <w:rsid w:val="00DD7364"/>
    <w:rsid w:val="00DD7ACC"/>
    <w:rsid w:val="00DD7D93"/>
    <w:rsid w:val="00DE1C46"/>
    <w:rsid w:val="00DE228C"/>
    <w:rsid w:val="00DE2635"/>
    <w:rsid w:val="00DE41B1"/>
    <w:rsid w:val="00DE4A21"/>
    <w:rsid w:val="00DE55EF"/>
    <w:rsid w:val="00DE5A09"/>
    <w:rsid w:val="00DE5EA4"/>
    <w:rsid w:val="00DE6D17"/>
    <w:rsid w:val="00DF0560"/>
    <w:rsid w:val="00DF05BB"/>
    <w:rsid w:val="00DF1796"/>
    <w:rsid w:val="00DF24AA"/>
    <w:rsid w:val="00DF289A"/>
    <w:rsid w:val="00DF3E3E"/>
    <w:rsid w:val="00DF4A2A"/>
    <w:rsid w:val="00DF5359"/>
    <w:rsid w:val="00DF796C"/>
    <w:rsid w:val="00E00165"/>
    <w:rsid w:val="00E02BF9"/>
    <w:rsid w:val="00E038EB"/>
    <w:rsid w:val="00E03F6C"/>
    <w:rsid w:val="00E045FB"/>
    <w:rsid w:val="00E04983"/>
    <w:rsid w:val="00E05A3B"/>
    <w:rsid w:val="00E05C04"/>
    <w:rsid w:val="00E0694A"/>
    <w:rsid w:val="00E06AA7"/>
    <w:rsid w:val="00E072D8"/>
    <w:rsid w:val="00E07CF9"/>
    <w:rsid w:val="00E103AB"/>
    <w:rsid w:val="00E103B9"/>
    <w:rsid w:val="00E12FAD"/>
    <w:rsid w:val="00E15DE9"/>
    <w:rsid w:val="00E1603A"/>
    <w:rsid w:val="00E16CB2"/>
    <w:rsid w:val="00E1781A"/>
    <w:rsid w:val="00E17DC3"/>
    <w:rsid w:val="00E213F2"/>
    <w:rsid w:val="00E214B1"/>
    <w:rsid w:val="00E225E6"/>
    <w:rsid w:val="00E230C5"/>
    <w:rsid w:val="00E23462"/>
    <w:rsid w:val="00E2492A"/>
    <w:rsid w:val="00E24D98"/>
    <w:rsid w:val="00E25AA2"/>
    <w:rsid w:val="00E2613B"/>
    <w:rsid w:val="00E2688A"/>
    <w:rsid w:val="00E27201"/>
    <w:rsid w:val="00E27685"/>
    <w:rsid w:val="00E277F0"/>
    <w:rsid w:val="00E27B6D"/>
    <w:rsid w:val="00E302A4"/>
    <w:rsid w:val="00E30A0B"/>
    <w:rsid w:val="00E31750"/>
    <w:rsid w:val="00E327AA"/>
    <w:rsid w:val="00E32969"/>
    <w:rsid w:val="00E33116"/>
    <w:rsid w:val="00E331CE"/>
    <w:rsid w:val="00E333F9"/>
    <w:rsid w:val="00E338A1"/>
    <w:rsid w:val="00E34D97"/>
    <w:rsid w:val="00E35C8C"/>
    <w:rsid w:val="00E35FBB"/>
    <w:rsid w:val="00E376FD"/>
    <w:rsid w:val="00E37C59"/>
    <w:rsid w:val="00E40CBB"/>
    <w:rsid w:val="00E40E7C"/>
    <w:rsid w:val="00E413F1"/>
    <w:rsid w:val="00E42D73"/>
    <w:rsid w:val="00E435DF"/>
    <w:rsid w:val="00E436DF"/>
    <w:rsid w:val="00E43ED0"/>
    <w:rsid w:val="00E44428"/>
    <w:rsid w:val="00E44ED6"/>
    <w:rsid w:val="00E45D11"/>
    <w:rsid w:val="00E46C5E"/>
    <w:rsid w:val="00E475B1"/>
    <w:rsid w:val="00E5031D"/>
    <w:rsid w:val="00E50595"/>
    <w:rsid w:val="00E528FC"/>
    <w:rsid w:val="00E533A4"/>
    <w:rsid w:val="00E5573D"/>
    <w:rsid w:val="00E614B9"/>
    <w:rsid w:val="00E61B23"/>
    <w:rsid w:val="00E62067"/>
    <w:rsid w:val="00E6219E"/>
    <w:rsid w:val="00E62D06"/>
    <w:rsid w:val="00E63B8E"/>
    <w:rsid w:val="00E641D8"/>
    <w:rsid w:val="00E64DA3"/>
    <w:rsid w:val="00E650E1"/>
    <w:rsid w:val="00E6550C"/>
    <w:rsid w:val="00E66335"/>
    <w:rsid w:val="00E666A8"/>
    <w:rsid w:val="00E6799A"/>
    <w:rsid w:val="00E67A22"/>
    <w:rsid w:val="00E70186"/>
    <w:rsid w:val="00E717A0"/>
    <w:rsid w:val="00E71E1B"/>
    <w:rsid w:val="00E725F8"/>
    <w:rsid w:val="00E72CCB"/>
    <w:rsid w:val="00E7407A"/>
    <w:rsid w:val="00E746FD"/>
    <w:rsid w:val="00E75135"/>
    <w:rsid w:val="00E7518F"/>
    <w:rsid w:val="00E755F5"/>
    <w:rsid w:val="00E773BC"/>
    <w:rsid w:val="00E802C4"/>
    <w:rsid w:val="00E83763"/>
    <w:rsid w:val="00E837E4"/>
    <w:rsid w:val="00E83C8E"/>
    <w:rsid w:val="00E841C8"/>
    <w:rsid w:val="00E84439"/>
    <w:rsid w:val="00E84F38"/>
    <w:rsid w:val="00E85584"/>
    <w:rsid w:val="00E9057C"/>
    <w:rsid w:val="00E92D51"/>
    <w:rsid w:val="00E937F8"/>
    <w:rsid w:val="00E94297"/>
    <w:rsid w:val="00E95AB4"/>
    <w:rsid w:val="00E97792"/>
    <w:rsid w:val="00E97EF9"/>
    <w:rsid w:val="00EA0F14"/>
    <w:rsid w:val="00EA14D6"/>
    <w:rsid w:val="00EA1644"/>
    <w:rsid w:val="00EA1996"/>
    <w:rsid w:val="00EA1A57"/>
    <w:rsid w:val="00EA21F9"/>
    <w:rsid w:val="00EA2E35"/>
    <w:rsid w:val="00EA3A24"/>
    <w:rsid w:val="00EA3A93"/>
    <w:rsid w:val="00EA520D"/>
    <w:rsid w:val="00EA62C3"/>
    <w:rsid w:val="00EA70AD"/>
    <w:rsid w:val="00EA72D1"/>
    <w:rsid w:val="00EB07C6"/>
    <w:rsid w:val="00EB30A3"/>
    <w:rsid w:val="00EB47FA"/>
    <w:rsid w:val="00EB4ABD"/>
    <w:rsid w:val="00EB4EE2"/>
    <w:rsid w:val="00EB56E7"/>
    <w:rsid w:val="00EB6FE6"/>
    <w:rsid w:val="00EB70EC"/>
    <w:rsid w:val="00EB75BD"/>
    <w:rsid w:val="00EC06AF"/>
    <w:rsid w:val="00EC1186"/>
    <w:rsid w:val="00EC1D57"/>
    <w:rsid w:val="00EC2167"/>
    <w:rsid w:val="00EC2972"/>
    <w:rsid w:val="00EC31DB"/>
    <w:rsid w:val="00EC347C"/>
    <w:rsid w:val="00EC352F"/>
    <w:rsid w:val="00EC4DC8"/>
    <w:rsid w:val="00EC56A4"/>
    <w:rsid w:val="00EC7F0E"/>
    <w:rsid w:val="00ED1CAC"/>
    <w:rsid w:val="00ED2574"/>
    <w:rsid w:val="00ED26A7"/>
    <w:rsid w:val="00ED2BA7"/>
    <w:rsid w:val="00ED3A92"/>
    <w:rsid w:val="00ED489F"/>
    <w:rsid w:val="00ED4BF9"/>
    <w:rsid w:val="00ED5F9D"/>
    <w:rsid w:val="00ED7B0E"/>
    <w:rsid w:val="00ED7B3E"/>
    <w:rsid w:val="00EE02C4"/>
    <w:rsid w:val="00EE02D7"/>
    <w:rsid w:val="00EE1E90"/>
    <w:rsid w:val="00EE2706"/>
    <w:rsid w:val="00EE3618"/>
    <w:rsid w:val="00EE5667"/>
    <w:rsid w:val="00EE61A6"/>
    <w:rsid w:val="00EE696B"/>
    <w:rsid w:val="00EE69B6"/>
    <w:rsid w:val="00EE6B91"/>
    <w:rsid w:val="00EE7044"/>
    <w:rsid w:val="00EE7E9D"/>
    <w:rsid w:val="00EF12AF"/>
    <w:rsid w:val="00EF1B4B"/>
    <w:rsid w:val="00EF3180"/>
    <w:rsid w:val="00EF41C4"/>
    <w:rsid w:val="00EF5A11"/>
    <w:rsid w:val="00EF6179"/>
    <w:rsid w:val="00EF6A9F"/>
    <w:rsid w:val="00EF6B06"/>
    <w:rsid w:val="00EF6C83"/>
    <w:rsid w:val="00EF7456"/>
    <w:rsid w:val="00EF7459"/>
    <w:rsid w:val="00F000BE"/>
    <w:rsid w:val="00F01395"/>
    <w:rsid w:val="00F02161"/>
    <w:rsid w:val="00F02574"/>
    <w:rsid w:val="00F02B7B"/>
    <w:rsid w:val="00F03802"/>
    <w:rsid w:val="00F039C8"/>
    <w:rsid w:val="00F03C06"/>
    <w:rsid w:val="00F04007"/>
    <w:rsid w:val="00F05169"/>
    <w:rsid w:val="00F06A76"/>
    <w:rsid w:val="00F07166"/>
    <w:rsid w:val="00F076D5"/>
    <w:rsid w:val="00F10153"/>
    <w:rsid w:val="00F10DB0"/>
    <w:rsid w:val="00F11121"/>
    <w:rsid w:val="00F1286F"/>
    <w:rsid w:val="00F14D5D"/>
    <w:rsid w:val="00F15B39"/>
    <w:rsid w:val="00F16E45"/>
    <w:rsid w:val="00F1770A"/>
    <w:rsid w:val="00F20395"/>
    <w:rsid w:val="00F207FA"/>
    <w:rsid w:val="00F21AE0"/>
    <w:rsid w:val="00F23B99"/>
    <w:rsid w:val="00F24092"/>
    <w:rsid w:val="00F241D8"/>
    <w:rsid w:val="00F25590"/>
    <w:rsid w:val="00F31AA6"/>
    <w:rsid w:val="00F327AE"/>
    <w:rsid w:val="00F32AB2"/>
    <w:rsid w:val="00F332BA"/>
    <w:rsid w:val="00F37169"/>
    <w:rsid w:val="00F37803"/>
    <w:rsid w:val="00F37ED5"/>
    <w:rsid w:val="00F37FB8"/>
    <w:rsid w:val="00F44330"/>
    <w:rsid w:val="00F45623"/>
    <w:rsid w:val="00F45B44"/>
    <w:rsid w:val="00F4654E"/>
    <w:rsid w:val="00F50632"/>
    <w:rsid w:val="00F5086D"/>
    <w:rsid w:val="00F521F5"/>
    <w:rsid w:val="00F5263B"/>
    <w:rsid w:val="00F5270C"/>
    <w:rsid w:val="00F53262"/>
    <w:rsid w:val="00F53723"/>
    <w:rsid w:val="00F54384"/>
    <w:rsid w:val="00F569E0"/>
    <w:rsid w:val="00F60483"/>
    <w:rsid w:val="00F61E20"/>
    <w:rsid w:val="00F6233F"/>
    <w:rsid w:val="00F63037"/>
    <w:rsid w:val="00F65ED2"/>
    <w:rsid w:val="00F660F0"/>
    <w:rsid w:val="00F662E8"/>
    <w:rsid w:val="00F675D1"/>
    <w:rsid w:val="00F70C24"/>
    <w:rsid w:val="00F71845"/>
    <w:rsid w:val="00F72F5D"/>
    <w:rsid w:val="00F73A2A"/>
    <w:rsid w:val="00F73FB0"/>
    <w:rsid w:val="00F74082"/>
    <w:rsid w:val="00F7436B"/>
    <w:rsid w:val="00F744B8"/>
    <w:rsid w:val="00F751C5"/>
    <w:rsid w:val="00F75289"/>
    <w:rsid w:val="00F75435"/>
    <w:rsid w:val="00F76E6C"/>
    <w:rsid w:val="00F77011"/>
    <w:rsid w:val="00F773E5"/>
    <w:rsid w:val="00F80016"/>
    <w:rsid w:val="00F80A56"/>
    <w:rsid w:val="00F8347A"/>
    <w:rsid w:val="00F84229"/>
    <w:rsid w:val="00F84237"/>
    <w:rsid w:val="00F869E2"/>
    <w:rsid w:val="00F94C65"/>
    <w:rsid w:val="00F94FDD"/>
    <w:rsid w:val="00F95B1F"/>
    <w:rsid w:val="00F95C58"/>
    <w:rsid w:val="00F96B6B"/>
    <w:rsid w:val="00F97D61"/>
    <w:rsid w:val="00FA03DF"/>
    <w:rsid w:val="00FA1F13"/>
    <w:rsid w:val="00FA3031"/>
    <w:rsid w:val="00FA4CDA"/>
    <w:rsid w:val="00FA6403"/>
    <w:rsid w:val="00FA7591"/>
    <w:rsid w:val="00FA7A87"/>
    <w:rsid w:val="00FB04B6"/>
    <w:rsid w:val="00FB066B"/>
    <w:rsid w:val="00FB0701"/>
    <w:rsid w:val="00FB0AEA"/>
    <w:rsid w:val="00FB0BFC"/>
    <w:rsid w:val="00FB175A"/>
    <w:rsid w:val="00FB273D"/>
    <w:rsid w:val="00FB2EA5"/>
    <w:rsid w:val="00FB2EE1"/>
    <w:rsid w:val="00FB312C"/>
    <w:rsid w:val="00FB3C5D"/>
    <w:rsid w:val="00FB6622"/>
    <w:rsid w:val="00FB6A4B"/>
    <w:rsid w:val="00FC2BEC"/>
    <w:rsid w:val="00FC2EBA"/>
    <w:rsid w:val="00FC32F3"/>
    <w:rsid w:val="00FC4A85"/>
    <w:rsid w:val="00FC579B"/>
    <w:rsid w:val="00FC5D76"/>
    <w:rsid w:val="00FC7505"/>
    <w:rsid w:val="00FD00D1"/>
    <w:rsid w:val="00FD0689"/>
    <w:rsid w:val="00FD0C45"/>
    <w:rsid w:val="00FD1232"/>
    <w:rsid w:val="00FD18EC"/>
    <w:rsid w:val="00FD210E"/>
    <w:rsid w:val="00FD2B51"/>
    <w:rsid w:val="00FD3456"/>
    <w:rsid w:val="00FD4BDB"/>
    <w:rsid w:val="00FD518F"/>
    <w:rsid w:val="00FD55DA"/>
    <w:rsid w:val="00FD5AA1"/>
    <w:rsid w:val="00FD6524"/>
    <w:rsid w:val="00FD6ECD"/>
    <w:rsid w:val="00FD75ED"/>
    <w:rsid w:val="00FE0C30"/>
    <w:rsid w:val="00FE14D5"/>
    <w:rsid w:val="00FE21C0"/>
    <w:rsid w:val="00FE223B"/>
    <w:rsid w:val="00FE2270"/>
    <w:rsid w:val="00FE227F"/>
    <w:rsid w:val="00FE235A"/>
    <w:rsid w:val="00FE3089"/>
    <w:rsid w:val="00FE484A"/>
    <w:rsid w:val="00FE4912"/>
    <w:rsid w:val="00FE4E9D"/>
    <w:rsid w:val="00FE6DC3"/>
    <w:rsid w:val="00FE6F15"/>
    <w:rsid w:val="00FE6FE1"/>
    <w:rsid w:val="00FE7472"/>
    <w:rsid w:val="00FE7E47"/>
    <w:rsid w:val="00FF0C5D"/>
    <w:rsid w:val="00FF18C7"/>
    <w:rsid w:val="00FF275F"/>
    <w:rsid w:val="00FF3C9F"/>
    <w:rsid w:val="00FF4412"/>
    <w:rsid w:val="00FF452E"/>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E65A"/>
  <w15:docId w15:val="{D7CB0B78-92B1-4E59-AF40-395A116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7D83"/>
  </w:style>
  <w:style w:type="paragraph" w:styleId="Heading1">
    <w:name w:val="heading 1"/>
    <w:basedOn w:val="Normal"/>
    <w:next w:val="Normal"/>
    <w:link w:val="Heading1Char"/>
    <w:uiPriority w:val="1"/>
    <w:qFormat/>
    <w:rsid w:val="00590065"/>
    <w:pPr>
      <w:keepNext/>
      <w:keepLines/>
      <w:ind w:firstLine="0"/>
      <w:jc w:val="center"/>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1"/>
    <w:unhideWhenUsed/>
    <w:qFormat/>
    <w:rsid w:val="00855D88"/>
    <w:pPr>
      <w:keepNext/>
      <w:keepLines/>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1"/>
    <w:unhideWhenUsed/>
    <w:qFormat/>
    <w:rsid w:val="00590065"/>
    <w:pPr>
      <w:keepNext/>
      <w:keepLines/>
      <w:outlineLvl w:val="2"/>
    </w:pPr>
    <w:rPr>
      <w:rFonts w:eastAsiaTheme="majorEastAsia" w:cstheme="majorBidi"/>
      <w:b/>
      <w:i/>
      <w:color w:val="1F4D78" w:themeColor="accent1" w:themeShade="7F"/>
      <w:szCs w:val="24"/>
    </w:rPr>
  </w:style>
  <w:style w:type="paragraph" w:styleId="Heading4">
    <w:name w:val="heading 4"/>
    <w:basedOn w:val="Normal"/>
    <w:next w:val="Normal"/>
    <w:link w:val="Heading4Char"/>
    <w:uiPriority w:val="1"/>
    <w:unhideWhenUsed/>
    <w:qFormat/>
    <w:rsid w:val="00AC0B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paragraph" w:styleId="Heading7">
    <w:name w:val="heading 7"/>
    <w:basedOn w:val="Normal"/>
    <w:next w:val="Normal"/>
    <w:link w:val="Heading7Char"/>
    <w:uiPriority w:val="9"/>
    <w:unhideWhenUsed/>
    <w:qFormat/>
    <w:rsid w:val="00F225F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sz w:val="72"/>
      <w:szCs w:val="72"/>
    </w:rPr>
  </w:style>
  <w:style w:type="character" w:customStyle="1" w:styleId="Heading1Char">
    <w:name w:val="Heading 1 Char"/>
    <w:basedOn w:val="DefaultParagraphFont"/>
    <w:link w:val="Heading1"/>
    <w:uiPriority w:val="1"/>
    <w:rsid w:val="00590065"/>
    <w:rPr>
      <w:rFonts w:eastAsiaTheme="majorEastAsia" w:cstheme="majorBidi"/>
      <w:b/>
      <w:color w:val="2E74B5" w:themeColor="accent1" w:themeShade="BF"/>
      <w:sz w:val="28"/>
      <w:szCs w:val="32"/>
    </w:rPr>
  </w:style>
  <w:style w:type="character" w:customStyle="1" w:styleId="Heading2Char">
    <w:name w:val="Heading 2 Char"/>
    <w:basedOn w:val="DefaultParagraphFont"/>
    <w:link w:val="Heading2"/>
    <w:uiPriority w:val="9"/>
    <w:rsid w:val="00855D88"/>
    <w:rPr>
      <w:rFonts w:eastAsiaTheme="majorEastAsia" w:cstheme="majorBidi"/>
      <w:b/>
      <w:color w:val="2E74B5" w:themeColor="accent1" w:themeShade="BF"/>
      <w:sz w:val="28"/>
      <w:szCs w:val="26"/>
    </w:rPr>
  </w:style>
  <w:style w:type="character" w:customStyle="1" w:styleId="Heading3Char">
    <w:name w:val="Heading 3 Char"/>
    <w:basedOn w:val="DefaultParagraphFont"/>
    <w:link w:val="Heading3"/>
    <w:uiPriority w:val="1"/>
    <w:rsid w:val="00590065"/>
    <w:rPr>
      <w:rFonts w:eastAsiaTheme="majorEastAsia" w:cstheme="majorBidi"/>
      <w:b/>
      <w:i/>
      <w:color w:val="1F4D78" w:themeColor="accent1" w:themeShade="7F"/>
      <w:sz w:val="28"/>
      <w:szCs w:val="24"/>
    </w:rPr>
  </w:style>
  <w:style w:type="character" w:customStyle="1" w:styleId="Heading4Char">
    <w:name w:val="Heading 4 Char"/>
    <w:basedOn w:val="DefaultParagraphFont"/>
    <w:link w:val="Heading4"/>
    <w:uiPriority w:val="1"/>
    <w:rsid w:val="00AC0BE1"/>
    <w:rPr>
      <w:rFonts w:asciiTheme="majorHAnsi" w:eastAsiaTheme="majorEastAsia" w:hAnsiTheme="majorHAnsi" w:cstheme="majorBidi"/>
      <w:b/>
      <w:i/>
      <w:iCs/>
      <w:color w:val="2E74B5" w:themeColor="accent1" w:themeShade="BF"/>
      <w:sz w:val="22"/>
      <w:szCs w:val="20"/>
    </w:rPr>
  </w:style>
  <w:style w:type="paragraph" w:styleId="TOC1">
    <w:name w:val="toc 1"/>
    <w:basedOn w:val="Normal"/>
    <w:next w:val="Normal"/>
    <w:autoRedefine/>
    <w:uiPriority w:val="39"/>
    <w:unhideWhenUsed/>
    <w:qFormat/>
    <w:rsid w:val="00B14A51"/>
    <w:pPr>
      <w:tabs>
        <w:tab w:val="right" w:leader="dot" w:pos="9395"/>
      </w:tabs>
      <w:spacing w:after="100"/>
      <w:ind w:firstLine="0"/>
    </w:pPr>
    <w:rPr>
      <w:b/>
      <w:noProof/>
    </w:rPr>
  </w:style>
  <w:style w:type="paragraph" w:styleId="TOC2">
    <w:name w:val="toc 2"/>
    <w:basedOn w:val="Normal"/>
    <w:next w:val="Normal"/>
    <w:autoRedefine/>
    <w:uiPriority w:val="39"/>
    <w:unhideWhenUsed/>
    <w:qFormat/>
    <w:rsid w:val="006A330E"/>
    <w:pPr>
      <w:tabs>
        <w:tab w:val="right" w:leader="dot" w:pos="9395"/>
      </w:tabs>
      <w:ind w:firstLine="851"/>
    </w:pPr>
    <w:rPr>
      <w:noProof/>
    </w:rPr>
  </w:style>
  <w:style w:type="paragraph" w:styleId="TOC3">
    <w:name w:val="toc 3"/>
    <w:basedOn w:val="Normal"/>
    <w:next w:val="Normal"/>
    <w:autoRedefine/>
    <w:uiPriority w:val="39"/>
    <w:unhideWhenUsed/>
    <w:qFormat/>
    <w:rsid w:val="00AC0BE1"/>
    <w:pPr>
      <w:tabs>
        <w:tab w:val="right" w:leader="dot" w:pos="9395"/>
      </w:tabs>
      <w:spacing w:after="100"/>
      <w:ind w:firstLine="851"/>
    </w:pPr>
  </w:style>
  <w:style w:type="paragraph" w:styleId="FootnoteText">
    <w:name w:val="footnote text"/>
    <w:basedOn w:val="Normal"/>
    <w:link w:val="FootnoteTextChar"/>
    <w:uiPriority w:val="99"/>
    <w:unhideWhenUsed/>
    <w:rsid w:val="00AC0BE1"/>
    <w:pPr>
      <w:spacing w:line="240" w:lineRule="auto"/>
      <w:ind w:firstLine="0"/>
      <w:jc w:val="left"/>
    </w:pPr>
    <w:rPr>
      <w:sz w:val="20"/>
    </w:rPr>
  </w:style>
  <w:style w:type="character" w:customStyle="1" w:styleId="FootnoteTextChar">
    <w:name w:val="Footnote Text Char"/>
    <w:basedOn w:val="DefaultParagraphFont"/>
    <w:link w:val="FootnoteText"/>
    <w:uiPriority w:val="99"/>
    <w:rsid w:val="00AC0BE1"/>
    <w:rPr>
      <w:b/>
      <w:sz w:val="20"/>
      <w:szCs w:val="20"/>
    </w:rPr>
  </w:style>
  <w:style w:type="paragraph" w:styleId="Header">
    <w:name w:val="header"/>
    <w:basedOn w:val="Normal"/>
    <w:link w:val="HeaderChar"/>
    <w:uiPriority w:val="99"/>
    <w:unhideWhenUsed/>
    <w:rsid w:val="00AC0BE1"/>
    <w:pPr>
      <w:tabs>
        <w:tab w:val="center" w:pos="4680"/>
        <w:tab w:val="right" w:pos="9360"/>
      </w:tabs>
      <w:spacing w:line="240" w:lineRule="auto"/>
    </w:pPr>
  </w:style>
  <w:style w:type="character" w:customStyle="1" w:styleId="HeaderChar">
    <w:name w:val="Header Char"/>
    <w:basedOn w:val="DefaultParagraphFont"/>
    <w:link w:val="Header"/>
    <w:uiPriority w:val="99"/>
    <w:rsid w:val="00AC0BE1"/>
    <w:rPr>
      <w:b/>
      <w:sz w:val="22"/>
      <w:szCs w:val="20"/>
    </w:rPr>
  </w:style>
  <w:style w:type="paragraph" w:styleId="Footer">
    <w:name w:val="footer"/>
    <w:basedOn w:val="Normal"/>
    <w:link w:val="FooterChar"/>
    <w:uiPriority w:val="99"/>
    <w:unhideWhenUsed/>
    <w:rsid w:val="00AC0BE1"/>
    <w:pPr>
      <w:tabs>
        <w:tab w:val="center" w:pos="4680"/>
        <w:tab w:val="right" w:pos="9360"/>
      </w:tabs>
      <w:spacing w:line="240" w:lineRule="auto"/>
    </w:pPr>
  </w:style>
  <w:style w:type="character" w:customStyle="1" w:styleId="FooterChar">
    <w:name w:val="Footer Char"/>
    <w:basedOn w:val="DefaultParagraphFont"/>
    <w:link w:val="Footer"/>
    <w:uiPriority w:val="99"/>
    <w:rsid w:val="00AC0BE1"/>
    <w:rPr>
      <w:b/>
      <w:sz w:val="22"/>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iPriority w:val="99"/>
    <w:unhideWhenUsed/>
    <w:qFormat/>
    <w:rsid w:val="00AC0BE1"/>
    <w:rPr>
      <w:vertAlign w:val="superscript"/>
    </w:rPr>
  </w:style>
  <w:style w:type="character" w:styleId="EndnoteReference">
    <w:name w:val="endnote reference"/>
    <w:basedOn w:val="DefaultParagraphFont"/>
    <w:uiPriority w:val="99"/>
    <w:semiHidden/>
    <w:unhideWhenUsed/>
    <w:rsid w:val="00AC0BE1"/>
    <w:rPr>
      <w:vertAlign w:val="superscript"/>
    </w:rPr>
  </w:style>
  <w:style w:type="paragraph" w:styleId="EndnoteText">
    <w:name w:val="endnote text"/>
    <w:basedOn w:val="Normal"/>
    <w:link w:val="EndnoteTextChar"/>
    <w:uiPriority w:val="99"/>
    <w:semiHidden/>
    <w:unhideWhenUsed/>
    <w:rsid w:val="00AC0BE1"/>
    <w:pPr>
      <w:spacing w:line="240" w:lineRule="auto"/>
    </w:pPr>
    <w:rPr>
      <w:sz w:val="20"/>
    </w:rPr>
  </w:style>
  <w:style w:type="character" w:customStyle="1" w:styleId="EndnoteTextChar">
    <w:name w:val="Endnote Text Char"/>
    <w:basedOn w:val="DefaultParagraphFont"/>
    <w:link w:val="EndnoteText"/>
    <w:uiPriority w:val="99"/>
    <w:semiHidden/>
    <w:rsid w:val="00AC0BE1"/>
    <w:rPr>
      <w:b/>
      <w:sz w:val="20"/>
      <w:szCs w:val="20"/>
    </w:rPr>
  </w:style>
  <w:style w:type="character" w:styleId="Hyperlink">
    <w:name w:val="Hyperlink"/>
    <w:basedOn w:val="DefaultParagraphFont"/>
    <w:uiPriority w:val="99"/>
    <w:unhideWhenUsed/>
    <w:rsid w:val="00AC0BE1"/>
    <w:rPr>
      <w:color w:val="0563C1" w:themeColor="hyperlink"/>
      <w:u w:val="single"/>
    </w:rPr>
  </w:style>
  <w:style w:type="paragraph" w:styleId="ListParagraph">
    <w:name w:val="List Paragraph"/>
    <w:basedOn w:val="Normal"/>
    <w:uiPriority w:val="34"/>
    <w:qFormat/>
    <w:rsid w:val="00AC0BE1"/>
    <w:pPr>
      <w:ind w:left="720"/>
      <w:contextualSpacing/>
    </w:pPr>
  </w:style>
  <w:style w:type="paragraph" w:styleId="TOCHeading">
    <w:name w:val="TOC Heading"/>
    <w:basedOn w:val="Heading1"/>
    <w:next w:val="Normal"/>
    <w:uiPriority w:val="39"/>
    <w:unhideWhenUsed/>
    <w:qFormat/>
    <w:rsid w:val="00AC0BE1"/>
    <w:pPr>
      <w:spacing w:line="259" w:lineRule="auto"/>
      <w:jc w:val="left"/>
      <w:outlineLvl w:val="9"/>
    </w:pPr>
  </w:style>
  <w:style w:type="table" w:styleId="TableGrid">
    <w:name w:val="Table Grid"/>
    <w:basedOn w:val="TableNormal"/>
    <w:uiPriority w:val="39"/>
    <w:rsid w:val="003E4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1">
    <w:name w:val="61"/>
    <w:basedOn w:val="TableNormal"/>
    <w:pPr>
      <w:spacing w:line="240" w:lineRule="auto"/>
    </w:pPr>
    <w:tblPr>
      <w:tblStyleRowBandSize w:val="1"/>
      <w:tblStyleColBandSize w:val="1"/>
    </w:tblPr>
  </w:style>
  <w:style w:type="table" w:customStyle="1" w:styleId="60">
    <w:name w:val="60"/>
    <w:basedOn w:val="TableNormal"/>
    <w:pPr>
      <w:spacing w:line="240" w:lineRule="auto"/>
    </w:pPr>
    <w:tblPr>
      <w:tblStyleRowBandSize w:val="1"/>
      <w:tblStyleColBandSize w:val="1"/>
    </w:tblPr>
  </w:style>
  <w:style w:type="table" w:customStyle="1" w:styleId="59">
    <w:name w:val="59"/>
    <w:basedOn w:val="TableNormal"/>
    <w:pPr>
      <w:spacing w:line="240" w:lineRule="auto"/>
    </w:pPr>
    <w:tblPr>
      <w:tblStyleRowBandSize w:val="1"/>
      <w:tblStyleColBandSize w:val="1"/>
    </w:tblPr>
  </w:style>
  <w:style w:type="table" w:customStyle="1" w:styleId="58">
    <w:name w:val="58"/>
    <w:basedOn w:val="TableNormal"/>
    <w:pPr>
      <w:spacing w:line="240" w:lineRule="auto"/>
    </w:pPr>
    <w:tblPr>
      <w:tblStyleRowBandSize w:val="1"/>
      <w:tblStyleColBandSize w:val="1"/>
    </w:tblPr>
  </w:style>
  <w:style w:type="table" w:customStyle="1" w:styleId="57">
    <w:name w:val="57"/>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BF2E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DC"/>
    <w:rPr>
      <w:rFonts w:ascii="Segoe UI" w:hAnsi="Segoe UI" w:cs="Segoe UI"/>
      <w:sz w:val="18"/>
      <w:szCs w:val="18"/>
    </w:rPr>
  </w:style>
  <w:style w:type="table" w:customStyle="1" w:styleId="56">
    <w:name w:val="56"/>
    <w:basedOn w:val="TableNormal"/>
    <w:pPr>
      <w:spacing w:line="240" w:lineRule="auto"/>
    </w:pPr>
    <w:tblPr>
      <w:tblStyleRowBandSize w:val="1"/>
      <w:tblStyleColBandSize w:val="1"/>
    </w:tblPr>
  </w:style>
  <w:style w:type="paragraph" w:styleId="NoSpacing">
    <w:name w:val="No Spacing"/>
    <w:uiPriority w:val="1"/>
    <w:qFormat/>
    <w:rsid w:val="00D90A47"/>
    <w:pPr>
      <w:spacing w:line="240" w:lineRule="auto"/>
    </w:pPr>
  </w:style>
  <w:style w:type="table" w:customStyle="1" w:styleId="55">
    <w:name w:val="55"/>
    <w:basedOn w:val="TableNormal"/>
    <w:pPr>
      <w:spacing w:line="240" w:lineRule="auto"/>
    </w:pPr>
    <w:tblPr>
      <w:tblStyleRowBandSize w:val="1"/>
      <w:tblStyleColBandSize w:val="1"/>
    </w:tblPr>
  </w:style>
  <w:style w:type="table" w:customStyle="1" w:styleId="54">
    <w:name w:val="54"/>
    <w:basedOn w:val="TableNormal"/>
    <w:pPr>
      <w:spacing w:line="240" w:lineRule="auto"/>
    </w:pPr>
    <w:tblPr>
      <w:tblStyleRowBandSize w:val="1"/>
      <w:tblStyleColBandSize w:val="1"/>
    </w:tblPr>
  </w:style>
  <w:style w:type="table" w:customStyle="1" w:styleId="53">
    <w:name w:val="53"/>
    <w:basedOn w:val="TableNormal"/>
    <w:pPr>
      <w:spacing w:line="240" w:lineRule="auto"/>
    </w:pPr>
    <w:tblPr>
      <w:tblStyleRowBandSize w:val="1"/>
      <w:tblStyleColBandSize w:val="1"/>
    </w:tblPr>
  </w:style>
  <w:style w:type="table" w:customStyle="1" w:styleId="52">
    <w:name w:val="52"/>
    <w:basedOn w:val="TableNormal"/>
    <w:pPr>
      <w:spacing w:line="240" w:lineRule="auto"/>
    </w:pPr>
    <w:tblPr>
      <w:tblStyleRowBandSize w:val="1"/>
      <w:tblStyleColBandSize w:val="1"/>
    </w:tblPr>
  </w:style>
  <w:style w:type="table" w:customStyle="1" w:styleId="51">
    <w:name w:val="51"/>
    <w:basedOn w:val="TableNormal"/>
    <w:pPr>
      <w:spacing w:line="240" w:lineRule="auto"/>
    </w:pPr>
    <w:tblPr>
      <w:tblStyleRowBandSize w:val="1"/>
      <w:tblStyleColBandSize w:val="1"/>
    </w:tblPr>
  </w:style>
  <w:style w:type="table" w:customStyle="1" w:styleId="50">
    <w:name w:val="50"/>
    <w:basedOn w:val="TableNormal"/>
    <w:pPr>
      <w:spacing w:line="240" w:lineRule="auto"/>
    </w:pPr>
    <w:tblPr>
      <w:tblStyleRowBandSize w:val="1"/>
      <w:tblStyleColBandSize w:val="1"/>
    </w:tblPr>
  </w:style>
  <w:style w:type="table" w:customStyle="1" w:styleId="49">
    <w:name w:val="49"/>
    <w:basedOn w:val="TableNormal"/>
    <w:pPr>
      <w:spacing w:line="240" w:lineRule="auto"/>
    </w:pPr>
    <w:tblPr>
      <w:tblStyleRowBandSize w:val="1"/>
      <w:tblStyleColBandSize w:val="1"/>
    </w:tblPr>
  </w:style>
  <w:style w:type="table" w:customStyle="1" w:styleId="48">
    <w:name w:val="48"/>
    <w:basedOn w:val="TableNormal"/>
    <w:pPr>
      <w:spacing w:line="240" w:lineRule="auto"/>
    </w:pPr>
    <w:tblPr>
      <w:tblStyleRowBandSize w:val="1"/>
      <w:tblStyleColBandSize w:val="1"/>
    </w:tblPr>
  </w:style>
  <w:style w:type="table" w:customStyle="1" w:styleId="47">
    <w:name w:val="47"/>
    <w:basedOn w:val="TableNormal"/>
    <w:pPr>
      <w:spacing w:line="240" w:lineRule="auto"/>
    </w:pPr>
    <w:tblPr>
      <w:tblStyleRowBandSize w:val="1"/>
      <w:tblStyleColBandSize w:val="1"/>
    </w:tblPr>
  </w:style>
  <w:style w:type="table" w:customStyle="1" w:styleId="46">
    <w:name w:val="46"/>
    <w:basedOn w:val="TableNormal"/>
    <w:pPr>
      <w:spacing w:line="240" w:lineRule="auto"/>
    </w:pPr>
    <w:tblPr>
      <w:tblStyleRowBandSize w:val="1"/>
      <w:tblStyleColBandSize w:val="1"/>
    </w:tblPr>
  </w:style>
  <w:style w:type="table" w:customStyle="1" w:styleId="45">
    <w:name w:val="45"/>
    <w:basedOn w:val="TableNormal"/>
    <w:pPr>
      <w:spacing w:line="240" w:lineRule="auto"/>
    </w:pPr>
    <w:tblPr>
      <w:tblStyleRowBandSize w:val="1"/>
      <w:tblStyleColBandSize w:val="1"/>
    </w:tblPr>
  </w:style>
  <w:style w:type="table" w:customStyle="1" w:styleId="44">
    <w:name w:val="44"/>
    <w:basedOn w:val="TableNormal"/>
    <w:pPr>
      <w:spacing w:line="240" w:lineRule="auto"/>
    </w:pPr>
    <w:tblPr>
      <w:tblStyleRowBandSize w:val="1"/>
      <w:tblStyleColBandSize w:val="1"/>
    </w:tblPr>
  </w:style>
  <w:style w:type="table" w:customStyle="1" w:styleId="43">
    <w:name w:val="43"/>
    <w:basedOn w:val="TableNormal"/>
    <w:pPr>
      <w:spacing w:line="240" w:lineRule="auto"/>
    </w:pPr>
    <w:tblPr>
      <w:tblStyleRowBandSize w:val="1"/>
      <w:tblStyleColBandSize w:val="1"/>
    </w:tblPr>
  </w:style>
  <w:style w:type="table" w:customStyle="1" w:styleId="42">
    <w:name w:val="42"/>
    <w:basedOn w:val="TableNormal"/>
    <w:pPr>
      <w:spacing w:line="240" w:lineRule="auto"/>
    </w:pPr>
    <w:tblPr>
      <w:tblStyleRowBandSize w:val="1"/>
      <w:tblStyleColBandSize w:val="1"/>
    </w:tblPr>
  </w:style>
  <w:style w:type="table" w:customStyle="1" w:styleId="41">
    <w:name w:val="41"/>
    <w:basedOn w:val="TableNormal"/>
    <w:pPr>
      <w:spacing w:line="240" w:lineRule="auto"/>
    </w:pPr>
    <w:tblPr>
      <w:tblStyleRowBandSize w:val="1"/>
      <w:tblStyleColBandSize w:val="1"/>
    </w:tblPr>
  </w:style>
  <w:style w:type="table" w:customStyle="1" w:styleId="40">
    <w:name w:val="40"/>
    <w:basedOn w:val="TableNormal"/>
    <w:pPr>
      <w:spacing w:line="240" w:lineRule="auto"/>
    </w:pPr>
    <w:tblPr>
      <w:tblStyleRowBandSize w:val="1"/>
      <w:tblStyleColBandSize w:val="1"/>
    </w:tblPr>
  </w:style>
  <w:style w:type="table" w:customStyle="1" w:styleId="39">
    <w:name w:val="39"/>
    <w:basedOn w:val="TableNormal"/>
    <w:pPr>
      <w:spacing w:line="240" w:lineRule="auto"/>
    </w:pPr>
    <w:tblPr>
      <w:tblStyleRowBandSize w:val="1"/>
      <w:tblStyleColBandSize w:val="1"/>
    </w:tblPr>
  </w:style>
  <w:style w:type="table" w:customStyle="1" w:styleId="38">
    <w:name w:val="38"/>
    <w:basedOn w:val="TableNormal"/>
    <w:pPr>
      <w:spacing w:line="240" w:lineRule="auto"/>
    </w:pPr>
    <w:tblPr>
      <w:tblStyleRowBandSize w:val="1"/>
      <w:tblStyleColBandSize w:val="1"/>
    </w:tblPr>
  </w:style>
  <w:style w:type="table" w:customStyle="1" w:styleId="37">
    <w:name w:val="37"/>
    <w:basedOn w:val="TableNormal"/>
    <w:pPr>
      <w:spacing w:line="240" w:lineRule="auto"/>
    </w:pPr>
    <w:tblPr>
      <w:tblStyleRowBandSize w:val="1"/>
      <w:tblStyleColBandSize w:val="1"/>
    </w:tblPr>
  </w:style>
  <w:style w:type="character" w:customStyle="1" w:styleId="Other">
    <w:name w:val="Other_"/>
    <w:basedOn w:val="DefaultParagraphFont"/>
    <w:link w:val="Other0"/>
    <w:rsid w:val="0058677F"/>
    <w:rPr>
      <w:sz w:val="28"/>
      <w:szCs w:val="28"/>
    </w:rPr>
  </w:style>
  <w:style w:type="paragraph" w:customStyle="1" w:styleId="Other0">
    <w:name w:val="Other"/>
    <w:basedOn w:val="Normal"/>
    <w:link w:val="Other"/>
    <w:rsid w:val="0058677F"/>
    <w:pPr>
      <w:widowControl w:val="0"/>
      <w:spacing w:after="120"/>
      <w:ind w:firstLine="400"/>
      <w:jc w:val="left"/>
    </w:pPr>
  </w:style>
  <w:style w:type="character" w:customStyle="1" w:styleId="Heading7Char">
    <w:name w:val="Heading 7 Char"/>
    <w:basedOn w:val="DefaultParagraphFont"/>
    <w:link w:val="Heading7"/>
    <w:uiPriority w:val="9"/>
    <w:rsid w:val="00F225FD"/>
    <w:rPr>
      <w:rFonts w:asciiTheme="majorHAnsi" w:eastAsiaTheme="majorEastAsia" w:hAnsiTheme="majorHAnsi" w:cstheme="majorBidi"/>
      <w:i/>
      <w:iCs/>
      <w:color w:val="1F4D78" w:themeColor="accent1" w:themeShade="7F"/>
    </w:rPr>
  </w:style>
  <w:style w:type="character" w:customStyle="1" w:styleId="fontstyle01">
    <w:name w:val="fontstyle01"/>
    <w:basedOn w:val="DefaultParagraphFont"/>
    <w:rsid w:val="00336D4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5386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B5386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B5386B"/>
    <w:rPr>
      <w:rFonts w:ascii="Times New Roman" w:hAnsi="Times New Roman" w:cs="Times New Roman" w:hint="default"/>
      <w:b/>
      <w:bCs/>
      <w:i/>
      <w:iCs/>
      <w:color w:val="000000"/>
      <w:sz w:val="28"/>
      <w:szCs w:val="28"/>
    </w:rPr>
  </w:style>
  <w:style w:type="table" w:customStyle="1" w:styleId="36">
    <w:name w:val="36"/>
    <w:basedOn w:val="TableNormal"/>
    <w:pPr>
      <w:spacing w:line="240" w:lineRule="auto"/>
    </w:pPr>
    <w:tblPr>
      <w:tblStyleRowBandSize w:val="1"/>
      <w:tblStyleColBandSize w:val="1"/>
    </w:tblPr>
  </w:style>
  <w:style w:type="table" w:customStyle="1" w:styleId="35">
    <w:name w:val="35"/>
    <w:basedOn w:val="TableNormal"/>
    <w:pPr>
      <w:spacing w:line="240" w:lineRule="auto"/>
    </w:pPr>
    <w:tblPr>
      <w:tblStyleRowBandSize w:val="1"/>
      <w:tblStyleColBandSize w:val="1"/>
    </w:tblPr>
  </w:style>
  <w:style w:type="table" w:customStyle="1" w:styleId="34">
    <w:name w:val="34"/>
    <w:basedOn w:val="TableNormal"/>
    <w:pPr>
      <w:spacing w:line="240" w:lineRule="auto"/>
    </w:pPr>
    <w:tblPr>
      <w:tblStyleRowBandSize w:val="1"/>
      <w:tblStyleColBandSize w:val="1"/>
    </w:tblPr>
  </w:style>
  <w:style w:type="table" w:customStyle="1" w:styleId="33">
    <w:name w:val="33"/>
    <w:basedOn w:val="TableNormal"/>
    <w:pPr>
      <w:spacing w:line="240" w:lineRule="auto"/>
    </w:pPr>
    <w:tblPr>
      <w:tblStyleRowBandSize w:val="1"/>
      <w:tblStyleColBandSize w:val="1"/>
    </w:tblPr>
  </w:style>
  <w:style w:type="character" w:customStyle="1" w:styleId="BodyTextChar">
    <w:name w:val="Body Text Char"/>
    <w:basedOn w:val="DefaultParagraphFont"/>
    <w:link w:val="BodyText"/>
    <w:uiPriority w:val="1"/>
    <w:rsid w:val="00DF2512"/>
    <w:rPr>
      <w:sz w:val="28"/>
      <w:szCs w:val="28"/>
    </w:rPr>
  </w:style>
  <w:style w:type="character" w:customStyle="1" w:styleId="Bodytext3">
    <w:name w:val="Body text (3)_"/>
    <w:basedOn w:val="DefaultParagraphFont"/>
    <w:link w:val="Bodytext30"/>
    <w:rsid w:val="00DF2512"/>
    <w:rPr>
      <w:b/>
      <w:bCs/>
      <w:sz w:val="54"/>
      <w:szCs w:val="54"/>
    </w:rPr>
  </w:style>
  <w:style w:type="character" w:customStyle="1" w:styleId="Bodytext4">
    <w:name w:val="Body text (4)_"/>
    <w:basedOn w:val="DefaultParagraphFont"/>
    <w:link w:val="Bodytext40"/>
    <w:rsid w:val="00DF2512"/>
    <w:rPr>
      <w:b/>
      <w:bCs/>
      <w:sz w:val="40"/>
      <w:szCs w:val="40"/>
    </w:rPr>
  </w:style>
  <w:style w:type="character" w:customStyle="1" w:styleId="Heading10">
    <w:name w:val="Heading #1_"/>
    <w:basedOn w:val="DefaultParagraphFont"/>
    <w:link w:val="Heading11"/>
    <w:rsid w:val="00DF2512"/>
    <w:rPr>
      <w:b/>
      <w:bCs/>
      <w:sz w:val="28"/>
      <w:szCs w:val="28"/>
    </w:rPr>
  </w:style>
  <w:style w:type="character" w:customStyle="1" w:styleId="Tableofcontents">
    <w:name w:val="Table of contents_"/>
    <w:basedOn w:val="DefaultParagraphFont"/>
    <w:link w:val="Tableofcontents0"/>
    <w:rsid w:val="00DF2512"/>
    <w:rPr>
      <w:sz w:val="28"/>
      <w:szCs w:val="28"/>
    </w:rPr>
  </w:style>
  <w:style w:type="character" w:customStyle="1" w:styleId="Bodytext5">
    <w:name w:val="Body text (5)_"/>
    <w:basedOn w:val="DefaultParagraphFont"/>
    <w:link w:val="Bodytext50"/>
    <w:rsid w:val="00DF2512"/>
    <w:rPr>
      <w:b/>
      <w:bCs/>
      <w:sz w:val="32"/>
      <w:szCs w:val="32"/>
    </w:rPr>
  </w:style>
  <w:style w:type="character" w:customStyle="1" w:styleId="Bodytext2">
    <w:name w:val="Body text (2)_"/>
    <w:basedOn w:val="DefaultParagraphFont"/>
    <w:link w:val="Bodytext20"/>
    <w:rsid w:val="00DF2512"/>
  </w:style>
  <w:style w:type="character" w:customStyle="1" w:styleId="Tablecaption">
    <w:name w:val="Table caption_"/>
    <w:basedOn w:val="DefaultParagraphFont"/>
    <w:link w:val="Tablecaption0"/>
    <w:rsid w:val="00DF2512"/>
    <w:rPr>
      <w:b/>
      <w:bCs/>
    </w:rPr>
  </w:style>
  <w:style w:type="paragraph" w:styleId="BodyText">
    <w:name w:val="Body Text"/>
    <w:basedOn w:val="Normal"/>
    <w:link w:val="BodyTextChar"/>
    <w:uiPriority w:val="1"/>
    <w:rsid w:val="00DF2512"/>
    <w:pPr>
      <w:widowControl w:val="0"/>
      <w:ind w:firstLine="400"/>
      <w:jc w:val="left"/>
    </w:pPr>
  </w:style>
  <w:style w:type="character" w:customStyle="1" w:styleId="BodyTextChar1">
    <w:name w:val="Body Text Char1"/>
    <w:basedOn w:val="DefaultParagraphFont"/>
    <w:uiPriority w:val="99"/>
    <w:semiHidden/>
    <w:rsid w:val="00DF2512"/>
  </w:style>
  <w:style w:type="paragraph" w:customStyle="1" w:styleId="Bodytext30">
    <w:name w:val="Body text (3)"/>
    <w:basedOn w:val="Normal"/>
    <w:link w:val="Bodytext3"/>
    <w:rsid w:val="00DF2512"/>
    <w:pPr>
      <w:widowControl w:val="0"/>
      <w:spacing w:after="1370" w:line="240" w:lineRule="auto"/>
      <w:ind w:firstLine="0"/>
      <w:jc w:val="center"/>
    </w:pPr>
    <w:rPr>
      <w:b/>
      <w:bCs/>
      <w:sz w:val="54"/>
      <w:szCs w:val="54"/>
    </w:rPr>
  </w:style>
  <w:style w:type="paragraph" w:customStyle="1" w:styleId="Bodytext40">
    <w:name w:val="Body text (4)"/>
    <w:basedOn w:val="Normal"/>
    <w:link w:val="Bodytext4"/>
    <w:rsid w:val="00DF2512"/>
    <w:pPr>
      <w:widowControl w:val="0"/>
      <w:spacing w:after="730" w:line="240" w:lineRule="auto"/>
      <w:ind w:firstLine="0"/>
      <w:jc w:val="center"/>
    </w:pPr>
    <w:rPr>
      <w:b/>
      <w:bCs/>
      <w:sz w:val="40"/>
      <w:szCs w:val="40"/>
    </w:rPr>
  </w:style>
  <w:style w:type="paragraph" w:customStyle="1" w:styleId="Heading11">
    <w:name w:val="Heading #1"/>
    <w:basedOn w:val="Normal"/>
    <w:link w:val="Heading10"/>
    <w:rsid w:val="00DF2512"/>
    <w:pPr>
      <w:widowControl w:val="0"/>
      <w:ind w:firstLine="740"/>
      <w:jc w:val="left"/>
      <w:outlineLvl w:val="0"/>
    </w:pPr>
    <w:rPr>
      <w:b/>
      <w:bCs/>
    </w:rPr>
  </w:style>
  <w:style w:type="paragraph" w:customStyle="1" w:styleId="Tableofcontents0">
    <w:name w:val="Table of contents"/>
    <w:basedOn w:val="Normal"/>
    <w:link w:val="Tableofcontents"/>
    <w:rsid w:val="00DF2512"/>
    <w:pPr>
      <w:widowControl w:val="0"/>
      <w:ind w:firstLine="0"/>
      <w:jc w:val="left"/>
    </w:pPr>
  </w:style>
  <w:style w:type="paragraph" w:customStyle="1" w:styleId="Bodytext50">
    <w:name w:val="Body text (5)"/>
    <w:basedOn w:val="Normal"/>
    <w:link w:val="Bodytext5"/>
    <w:rsid w:val="00DF2512"/>
    <w:pPr>
      <w:widowControl w:val="0"/>
      <w:spacing w:after="400"/>
      <w:ind w:firstLine="0"/>
      <w:jc w:val="center"/>
    </w:pPr>
    <w:rPr>
      <w:b/>
      <w:bCs/>
      <w:sz w:val="32"/>
      <w:szCs w:val="32"/>
    </w:rPr>
  </w:style>
  <w:style w:type="paragraph" w:customStyle="1" w:styleId="Bodytext20">
    <w:name w:val="Body text (2)"/>
    <w:basedOn w:val="Normal"/>
    <w:link w:val="Bodytext2"/>
    <w:rsid w:val="00DF2512"/>
    <w:pPr>
      <w:widowControl w:val="0"/>
      <w:spacing w:line="202" w:lineRule="auto"/>
      <w:ind w:left="520" w:firstLine="0"/>
      <w:jc w:val="left"/>
    </w:pPr>
  </w:style>
  <w:style w:type="paragraph" w:customStyle="1" w:styleId="Tablecaption0">
    <w:name w:val="Table caption"/>
    <w:basedOn w:val="Normal"/>
    <w:link w:val="Tablecaption"/>
    <w:rsid w:val="00DF2512"/>
    <w:pPr>
      <w:widowControl w:val="0"/>
      <w:spacing w:line="240" w:lineRule="auto"/>
      <w:ind w:firstLine="0"/>
      <w:jc w:val="left"/>
    </w:pPr>
    <w:rPr>
      <w:b/>
      <w:bCs/>
    </w:rPr>
  </w:style>
  <w:style w:type="character" w:customStyle="1" w:styleId="Heading20">
    <w:name w:val="Heading #2_"/>
    <w:basedOn w:val="DefaultParagraphFont"/>
    <w:link w:val="Heading21"/>
    <w:rsid w:val="00982E6F"/>
    <w:rPr>
      <w:b/>
      <w:bCs/>
      <w:i/>
      <w:iCs/>
      <w:sz w:val="28"/>
      <w:szCs w:val="28"/>
    </w:rPr>
  </w:style>
  <w:style w:type="paragraph" w:customStyle="1" w:styleId="Heading21">
    <w:name w:val="Heading #2"/>
    <w:basedOn w:val="Normal"/>
    <w:link w:val="Heading20"/>
    <w:rsid w:val="00982E6F"/>
    <w:pPr>
      <w:widowControl w:val="0"/>
      <w:ind w:firstLine="580"/>
      <w:jc w:val="left"/>
      <w:outlineLvl w:val="1"/>
    </w:pPr>
    <w:rPr>
      <w:b/>
      <w:bCs/>
      <w:i/>
      <w:iCs/>
    </w:rPr>
  </w:style>
  <w:style w:type="table" w:customStyle="1" w:styleId="32">
    <w:name w:val="32"/>
    <w:basedOn w:val="TableNormal"/>
    <w:pPr>
      <w:spacing w:line="240" w:lineRule="auto"/>
    </w:pPr>
    <w:tblPr>
      <w:tblStyleRowBandSize w:val="1"/>
      <w:tblStyleColBandSize w:val="1"/>
    </w:tblPr>
  </w:style>
  <w:style w:type="character" w:customStyle="1" w:styleId="TitleChar">
    <w:name w:val="Title Char"/>
    <w:basedOn w:val="DefaultParagraphFont"/>
    <w:link w:val="Title"/>
    <w:uiPriority w:val="1"/>
    <w:rsid w:val="003E16E2"/>
    <w:rPr>
      <w:sz w:val="72"/>
      <w:szCs w:val="72"/>
    </w:rPr>
  </w:style>
  <w:style w:type="paragraph" w:customStyle="1" w:styleId="TableParagraph">
    <w:name w:val="Table Paragraph"/>
    <w:basedOn w:val="Normal"/>
    <w:uiPriority w:val="1"/>
    <w:qFormat/>
    <w:rsid w:val="003E16E2"/>
    <w:pPr>
      <w:widowControl w:val="0"/>
      <w:autoSpaceDE w:val="0"/>
      <w:autoSpaceDN w:val="0"/>
      <w:spacing w:line="298" w:lineRule="exact"/>
      <w:ind w:left="107" w:firstLine="0"/>
      <w:jc w:val="left"/>
    </w:pPr>
    <w:rPr>
      <w:sz w:val="22"/>
      <w:szCs w:val="22"/>
      <w:lang w:val="vi"/>
    </w:rPr>
  </w:style>
  <w:style w:type="table" w:customStyle="1" w:styleId="31">
    <w:name w:val="31"/>
    <w:basedOn w:val="TableNormal"/>
    <w:pPr>
      <w:spacing w:line="240" w:lineRule="auto"/>
    </w:pPr>
    <w:tblPr>
      <w:tblStyleRowBandSize w:val="1"/>
      <w:tblStyleColBandSize w:val="1"/>
    </w:tblPr>
  </w:style>
  <w:style w:type="paragraph" w:styleId="TOC4">
    <w:name w:val="toc 4"/>
    <w:basedOn w:val="Normal"/>
    <w:next w:val="Normal"/>
    <w:autoRedefine/>
    <w:uiPriority w:val="1"/>
    <w:unhideWhenUsed/>
    <w:qFormat/>
    <w:rsid w:val="00367E73"/>
    <w:pPr>
      <w:spacing w:after="100"/>
      <w:ind w:left="840"/>
    </w:pPr>
  </w:style>
  <w:style w:type="numbering" w:customStyle="1" w:styleId="NoList1">
    <w:name w:val="No List1"/>
    <w:next w:val="NoList"/>
    <w:uiPriority w:val="99"/>
    <w:semiHidden/>
    <w:unhideWhenUsed/>
    <w:rsid w:val="00367E73"/>
  </w:style>
  <w:style w:type="paragraph" w:styleId="TOC5">
    <w:name w:val="toc 5"/>
    <w:basedOn w:val="Normal"/>
    <w:next w:val="Normal"/>
    <w:autoRedefine/>
    <w:uiPriority w:val="1"/>
    <w:unhideWhenUsed/>
    <w:qFormat/>
    <w:rsid w:val="008A3FE3"/>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1"/>
    <w:unhideWhenUsed/>
    <w:qFormat/>
    <w:rsid w:val="008A3FE3"/>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3FE3"/>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3FE3"/>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3FE3"/>
    <w:pPr>
      <w:spacing w:after="100" w:line="276" w:lineRule="auto"/>
      <w:ind w:left="1760" w:firstLine="0"/>
      <w:jc w:val="left"/>
    </w:pPr>
    <w:rPr>
      <w:rFonts w:asciiTheme="minorHAnsi" w:eastAsiaTheme="minorEastAsia" w:hAnsiTheme="minorHAnsi" w:cstheme="minorBidi"/>
      <w:sz w:val="22"/>
      <w:szCs w:val="22"/>
    </w:rPr>
  </w:style>
  <w:style w:type="table" w:customStyle="1" w:styleId="30">
    <w:name w:val="30"/>
    <w:basedOn w:val="TableNormal"/>
    <w:pPr>
      <w:spacing w:line="240" w:lineRule="auto"/>
    </w:pPr>
    <w:tblPr>
      <w:tblStyleRowBandSize w:val="1"/>
      <w:tblStyleColBandSize w:val="1"/>
    </w:tblPr>
  </w:style>
  <w:style w:type="table" w:customStyle="1" w:styleId="29">
    <w:name w:val="29"/>
    <w:basedOn w:val="TableNormal"/>
    <w:pPr>
      <w:spacing w:line="240" w:lineRule="auto"/>
    </w:pPr>
    <w:tblPr>
      <w:tblStyleRowBandSize w:val="1"/>
      <w:tblStyleColBandSize w:val="1"/>
    </w:tblPr>
  </w:style>
  <w:style w:type="table" w:customStyle="1" w:styleId="28">
    <w:name w:val="28"/>
    <w:basedOn w:val="TableNormal"/>
    <w:pPr>
      <w:spacing w:line="240" w:lineRule="auto"/>
    </w:pPr>
    <w:tblPr>
      <w:tblStyleRowBandSize w:val="1"/>
      <w:tblStyleColBandSize w:val="1"/>
    </w:tblPr>
  </w:style>
  <w:style w:type="table" w:customStyle="1" w:styleId="27">
    <w:name w:val="27"/>
    <w:basedOn w:val="TableNormal"/>
    <w:pPr>
      <w:spacing w:line="240" w:lineRule="auto"/>
    </w:pPr>
    <w:tblPr>
      <w:tblStyleRowBandSize w:val="1"/>
      <w:tblStyleColBandSize w:val="1"/>
    </w:tblPr>
  </w:style>
  <w:style w:type="table" w:customStyle="1" w:styleId="26">
    <w:name w:val="26"/>
    <w:basedOn w:val="TableNormal"/>
    <w:pPr>
      <w:spacing w:line="240" w:lineRule="auto"/>
    </w:pPr>
    <w:tblPr>
      <w:tblStyleRowBandSize w:val="1"/>
      <w:tblStyleColBandSize w:val="1"/>
    </w:tblPr>
  </w:style>
  <w:style w:type="table" w:customStyle="1" w:styleId="25">
    <w:name w:val="25"/>
    <w:basedOn w:val="TableNormal"/>
    <w:pPr>
      <w:spacing w:line="240" w:lineRule="auto"/>
    </w:pPr>
    <w:tblPr>
      <w:tblStyleRowBandSize w:val="1"/>
      <w:tblStyleColBandSize w:val="1"/>
    </w:tblPr>
  </w:style>
  <w:style w:type="table" w:customStyle="1" w:styleId="24">
    <w:name w:val="24"/>
    <w:basedOn w:val="TableNormal"/>
    <w:pPr>
      <w:spacing w:line="240" w:lineRule="auto"/>
    </w:pPr>
    <w:tblPr>
      <w:tblStyleRowBandSize w:val="1"/>
      <w:tblStyleColBandSize w:val="1"/>
    </w:tblPr>
  </w:style>
  <w:style w:type="table" w:customStyle="1" w:styleId="23">
    <w:name w:val="23"/>
    <w:basedOn w:val="TableNormal"/>
    <w:pPr>
      <w:spacing w:line="240" w:lineRule="auto"/>
    </w:pPr>
    <w:tblPr>
      <w:tblStyleRowBandSize w:val="1"/>
      <w:tblStyleColBandSize w:val="1"/>
    </w:tblPr>
  </w:style>
  <w:style w:type="table" w:customStyle="1" w:styleId="22">
    <w:name w:val="22"/>
    <w:basedOn w:val="TableNormal"/>
    <w:pPr>
      <w:spacing w:line="240" w:lineRule="auto"/>
    </w:pPr>
    <w:tblPr>
      <w:tblStyleRowBandSize w:val="1"/>
      <w:tblStyleColBandSize w:val="1"/>
    </w:tblPr>
  </w:style>
  <w:style w:type="table" w:customStyle="1" w:styleId="21">
    <w:name w:val="21"/>
    <w:basedOn w:val="TableNormal"/>
    <w:pPr>
      <w:spacing w:line="240" w:lineRule="auto"/>
    </w:pPr>
    <w:tblPr>
      <w:tblStyleRowBandSize w:val="1"/>
      <w:tblStyleColBandSize w:val="1"/>
    </w:tblPr>
  </w:style>
  <w:style w:type="table" w:customStyle="1" w:styleId="20">
    <w:name w:val="20"/>
    <w:basedOn w:val="TableNormal"/>
    <w:pPr>
      <w:spacing w:line="240" w:lineRule="auto"/>
    </w:pPr>
    <w:tblPr>
      <w:tblStyleRowBandSize w:val="1"/>
      <w:tblStyleColBandSize w:val="1"/>
    </w:tblPr>
  </w:style>
  <w:style w:type="table" w:customStyle="1" w:styleId="19">
    <w:name w:val="19"/>
    <w:basedOn w:val="TableNormal"/>
    <w:pPr>
      <w:spacing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pPr>
      <w:spacing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B3511E"/>
    <w:rPr>
      <w:sz w:val="24"/>
      <w:szCs w:val="24"/>
    </w:rPr>
  </w:style>
  <w:style w:type="table" w:customStyle="1" w:styleId="16">
    <w:name w:val="16"/>
    <w:basedOn w:val="TableNormal"/>
    <w:pPr>
      <w:spacing w:line="240" w:lineRule="auto"/>
    </w:pPr>
    <w:tblPr>
      <w:tblStyleRowBandSize w:val="1"/>
      <w:tblStyleColBandSize w:val="1"/>
      <w:tblCellMar>
        <w:left w:w="115" w:type="dxa"/>
        <w:right w:w="115" w:type="dxa"/>
      </w:tblCellMar>
    </w:tblPr>
  </w:style>
  <w:style w:type="table" w:customStyle="1" w:styleId="15">
    <w:name w:val="15"/>
    <w:basedOn w:val="TableNormal"/>
    <w:pPr>
      <w:spacing w:line="240" w:lineRule="auto"/>
    </w:pPr>
    <w:tblPr>
      <w:tblStyleRowBandSize w:val="1"/>
      <w:tblStyleColBandSize w:val="1"/>
      <w:tblCellMar>
        <w:left w:w="115" w:type="dxa"/>
        <w:right w:w="115" w:type="dxa"/>
      </w:tblCellMar>
    </w:tblPr>
  </w:style>
  <w:style w:type="table" w:customStyle="1" w:styleId="14">
    <w:name w:val="14"/>
    <w:basedOn w:val="TableNormal"/>
    <w:pPr>
      <w:spacing w:line="240" w:lineRule="auto"/>
    </w:pPr>
    <w:tblPr>
      <w:tblStyleRowBandSize w:val="1"/>
      <w:tblStyleColBandSize w:val="1"/>
      <w:tblCellMar>
        <w:left w:w="115" w:type="dxa"/>
        <w:right w:w="115" w:type="dxa"/>
      </w:tblCellMar>
    </w:tblPr>
  </w:style>
  <w:style w:type="table" w:customStyle="1" w:styleId="13">
    <w:name w:val="13"/>
    <w:basedOn w:val="TableNormal"/>
    <w:pPr>
      <w:spacing w:line="240" w:lineRule="auto"/>
    </w:pPr>
    <w:tblPr>
      <w:tblStyleRowBandSize w:val="1"/>
      <w:tblStyleColBandSize w:val="1"/>
      <w:tblCellMar>
        <w:left w:w="115" w:type="dxa"/>
        <w:right w:w="115" w:type="dxa"/>
      </w:tblCellMar>
    </w:tblPr>
  </w:style>
  <w:style w:type="table" w:customStyle="1" w:styleId="12">
    <w:name w:val="12"/>
    <w:basedOn w:val="TableNormal"/>
    <w:pPr>
      <w:spacing w:line="240" w:lineRule="auto"/>
    </w:pPr>
    <w:tblPr>
      <w:tblStyleRowBandSize w:val="1"/>
      <w:tblStyleColBandSize w:val="1"/>
      <w:tblCellMar>
        <w:left w:w="115" w:type="dxa"/>
        <w:right w:w="115" w:type="dxa"/>
      </w:tblCellMar>
    </w:tblPr>
  </w:style>
  <w:style w:type="table" w:customStyle="1" w:styleId="11">
    <w:name w:val="11"/>
    <w:basedOn w:val="TableNormal"/>
    <w:pPr>
      <w:spacing w:line="240" w:lineRule="auto"/>
    </w:pPr>
    <w:tblPr>
      <w:tblStyleRowBandSize w:val="1"/>
      <w:tblStyleColBandSize w:val="1"/>
      <w:tblCellMar>
        <w:left w:w="115" w:type="dxa"/>
        <w:right w:w="115" w:type="dxa"/>
      </w:tblCellMar>
    </w:tblPr>
  </w:style>
  <w:style w:type="table" w:customStyle="1" w:styleId="10">
    <w:name w:val="10"/>
    <w:basedOn w:val="TableNormal"/>
    <w:pPr>
      <w:spacing w:line="240" w:lineRule="auto"/>
    </w:pPr>
    <w:tblPr>
      <w:tblStyleRowBandSize w:val="1"/>
      <w:tblStyleColBandSize w:val="1"/>
      <w:tblCellMar>
        <w:left w:w="115" w:type="dxa"/>
        <w:right w:w="115" w:type="dxa"/>
      </w:tblCellMar>
    </w:tblPr>
  </w:style>
  <w:style w:type="table" w:customStyle="1" w:styleId="9">
    <w:name w:val="9"/>
    <w:basedOn w:val="TableNormal"/>
    <w:pPr>
      <w:spacing w:line="240" w:lineRule="auto"/>
    </w:pPr>
    <w:tblPr>
      <w:tblStyleRowBandSize w:val="1"/>
      <w:tblStyleColBandSize w:val="1"/>
      <w:tblCellMar>
        <w:left w:w="115" w:type="dxa"/>
        <w:right w:w="115" w:type="dxa"/>
      </w:tblCellMar>
    </w:tblPr>
  </w:style>
  <w:style w:type="table" w:customStyle="1" w:styleId="8">
    <w:name w:val="8"/>
    <w:basedOn w:val="TableNormal"/>
    <w:pPr>
      <w:spacing w:line="240" w:lineRule="auto"/>
    </w:pPr>
    <w:tblPr>
      <w:tblStyleRowBandSize w:val="1"/>
      <w:tblStyleColBandSize w:val="1"/>
      <w:tblCellMar>
        <w:left w:w="115" w:type="dxa"/>
        <w:right w:w="115" w:type="dxa"/>
      </w:tblCellMar>
    </w:tblPr>
  </w:style>
  <w:style w:type="table" w:customStyle="1" w:styleId="7">
    <w:name w:val="7"/>
    <w:basedOn w:val="TableNormal"/>
    <w:pPr>
      <w:spacing w:line="240" w:lineRule="auto"/>
    </w:pPr>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E48E5"/>
    <w:rPr>
      <w:color w:val="954F72" w:themeColor="followedHyperlink"/>
      <w:u w:val="single"/>
    </w:rPr>
  </w:style>
  <w:style w:type="table" w:customStyle="1" w:styleId="6">
    <w:name w:val="6"/>
    <w:basedOn w:val="TableNormal"/>
    <w:pPr>
      <w:spacing w:line="240" w:lineRule="auto"/>
    </w:pPr>
    <w:tblPr>
      <w:tblStyleRowBandSize w:val="1"/>
      <w:tblStyleColBandSize w:val="1"/>
      <w:tblCellMar>
        <w:left w:w="115" w:type="dxa"/>
        <w:right w:w="115" w:type="dxa"/>
      </w:tblCellMar>
    </w:tblPr>
  </w:style>
  <w:style w:type="table" w:customStyle="1" w:styleId="5">
    <w:name w:val="5"/>
    <w:basedOn w:val="TableNormal"/>
    <w:pPr>
      <w:spacing w:line="240" w:lineRule="auto"/>
    </w:pPr>
    <w:tblPr>
      <w:tblStyleRowBandSize w:val="1"/>
      <w:tblStyleColBandSize w:val="1"/>
      <w:tblCellMar>
        <w:left w:w="115" w:type="dxa"/>
        <w:right w:w="115" w:type="dxa"/>
      </w:tblCellMar>
    </w:tblPr>
  </w:style>
  <w:style w:type="table" w:customStyle="1" w:styleId="4">
    <w:name w:val="4"/>
    <w:basedOn w:val="TableNormal"/>
    <w:pPr>
      <w:spacing w:line="240" w:lineRule="auto"/>
    </w:pPr>
    <w:tblPr>
      <w:tblStyleRowBandSize w:val="1"/>
      <w:tblStyleColBandSize w:val="1"/>
      <w:tblCellMar>
        <w:left w:w="115" w:type="dxa"/>
        <w:right w:w="115" w:type="dxa"/>
      </w:tblCellMar>
    </w:tblPr>
  </w:style>
  <w:style w:type="table" w:customStyle="1" w:styleId="3">
    <w:name w:val="3"/>
    <w:basedOn w:val="TableNormal"/>
    <w:pPr>
      <w:spacing w:line="240" w:lineRule="auto"/>
    </w:pPr>
    <w:tblPr>
      <w:tblStyleRowBandSize w:val="1"/>
      <w:tblStyleColBandSize w:val="1"/>
      <w:tblCellMar>
        <w:left w:w="115" w:type="dxa"/>
        <w:right w:w="115" w:type="dxa"/>
      </w:tblCellMar>
    </w:tblPr>
  </w:style>
  <w:style w:type="table" w:customStyle="1" w:styleId="2">
    <w:name w:val="2"/>
    <w:basedOn w:val="TableNormal"/>
    <w:pPr>
      <w:spacing w:line="240" w:lineRule="auto"/>
    </w:pPr>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15" w:type="dxa"/>
        <w:right w:w="115" w:type="dxa"/>
      </w:tblCellMar>
    </w:tblPr>
  </w:style>
  <w:style w:type="paragraph" w:customStyle="1" w:styleId="Doan">
    <w:name w:val="Doan"/>
    <w:basedOn w:val="Normal"/>
    <w:rsid w:val="008532A3"/>
    <w:pPr>
      <w:spacing w:line="288" w:lineRule="auto"/>
      <w:ind w:firstLine="561"/>
    </w:pPr>
    <w:rPr>
      <w:iCs/>
      <w:color w:val="000000"/>
      <w:sz w:val="26"/>
    </w:rPr>
  </w:style>
  <w:style w:type="character" w:styleId="Strong">
    <w:name w:val="Strong"/>
    <w:basedOn w:val="DefaultParagraphFont"/>
    <w:uiPriority w:val="22"/>
    <w:qFormat/>
    <w:rsid w:val="008532A3"/>
    <w:rPr>
      <w:b/>
      <w:bCs/>
    </w:rPr>
  </w:style>
  <w:style w:type="table" w:customStyle="1" w:styleId="TableGrid1">
    <w:name w:val="Table Grid1"/>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3F7D6A"/>
    <w:pPr>
      <w:spacing w:before="120" w:after="120" w:line="312" w:lineRule="auto"/>
      <w:ind w:firstLine="0"/>
    </w:pPr>
    <w:rPr>
      <w:rFonts w:eastAsia="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47786"/>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4B09"/>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3799"/>
    <w:pPr>
      <w:spacing w:line="240" w:lineRule="auto"/>
      <w:ind w:firstLine="0"/>
      <w:jc w:val="left"/>
    </w:pPr>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550C"/>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06A4"/>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SqjFVPMH5kz9Wn7YnIk6j2bhg==">CgMxLjAyCGguZ2pkZ3hzOAByITFlaUJVTHlQOEJvWGtnY29sMUhPaVltQ2JqY1NfSGx3dQ==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AA943A-6D62-4365-9551-BB6B6383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2026-01-16T07:48:00Z</cp:lastPrinted>
  <dcterms:created xsi:type="dcterms:W3CDTF">2025-12-04T06:30:00Z</dcterms:created>
  <dcterms:modified xsi:type="dcterms:W3CDTF">2026-04-27T16:49:00Z</dcterms:modified>
</cp:coreProperties>
</file>